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DD5C7">
      <w:pPr>
        <w:spacing w:line="360" w:lineRule="auto"/>
        <w:jc w:val="center"/>
        <w:rPr>
          <w:rFonts w:hint="eastAsia" w:ascii="黑体" w:hAnsi="黑体" w:eastAsia="黑体"/>
          <w:b/>
          <w:bCs/>
          <w:sz w:val="32"/>
          <w:szCs w:val="32"/>
        </w:rPr>
      </w:pPr>
      <w:bookmarkStart w:id="0" w:name="_GoBack"/>
      <w:bookmarkEnd w:id="0"/>
      <w:r>
        <w:rPr>
          <w:rFonts w:hint="eastAsia" w:ascii="黑体" w:hAnsi="黑体" w:eastAsia="黑体"/>
          <w:b/>
          <w:bCs/>
          <w:sz w:val="32"/>
          <w:szCs w:val="32"/>
        </w:rPr>
        <w:t>浙江工业大学计算机科学与技术学院</w:t>
      </w:r>
    </w:p>
    <w:p w14:paraId="0E5F136E">
      <w:pPr>
        <w:spacing w:line="360" w:lineRule="auto"/>
        <w:jc w:val="center"/>
        <w:rPr>
          <w:rFonts w:hint="eastAsia" w:ascii="黑体" w:hAnsi="黑体" w:eastAsia="黑体"/>
          <w:b/>
          <w:bCs/>
          <w:sz w:val="32"/>
          <w:szCs w:val="32"/>
          <w:lang w:val="en-US"/>
        </w:rPr>
      </w:pPr>
      <w:r>
        <w:rPr>
          <w:rFonts w:hint="eastAsia" w:ascii="黑体" w:hAnsi="黑体" w:eastAsia="黑体"/>
          <w:b/>
          <w:bCs/>
          <w:sz w:val="32"/>
          <w:szCs w:val="32"/>
          <w:lang w:val="en-US"/>
        </w:rPr>
        <w:t>研究生新生学业奖学金实施细则</w:t>
      </w:r>
    </w:p>
    <w:p w14:paraId="1123FD09">
      <w:pPr>
        <w:spacing w:line="360" w:lineRule="auto"/>
        <w:jc w:val="center"/>
        <w:rPr>
          <w:rFonts w:hint="eastAsia" w:ascii="黑体" w:hAnsi="黑体" w:eastAsia="黑体"/>
          <w:sz w:val="24"/>
          <w:szCs w:val="24"/>
        </w:rPr>
      </w:pPr>
      <w:r>
        <w:rPr>
          <w:rFonts w:hint="eastAsia" w:ascii="黑体" w:hAnsi="黑体" w:eastAsia="黑体"/>
          <w:sz w:val="24"/>
          <w:szCs w:val="24"/>
        </w:rPr>
        <w:t>（2</w:t>
      </w:r>
      <w:r>
        <w:rPr>
          <w:rFonts w:ascii="黑体" w:hAnsi="黑体" w:eastAsia="黑体"/>
          <w:sz w:val="24"/>
          <w:szCs w:val="24"/>
        </w:rPr>
        <w:t>02</w:t>
      </w:r>
      <w:r>
        <w:rPr>
          <w:rFonts w:hint="eastAsia" w:ascii="黑体" w:hAnsi="黑体" w:eastAsia="黑体"/>
          <w:sz w:val="24"/>
          <w:szCs w:val="24"/>
          <w:lang w:val="en-US"/>
        </w:rPr>
        <w:t>6</w:t>
      </w:r>
      <w:r>
        <w:rPr>
          <w:rFonts w:hint="eastAsia" w:ascii="黑体" w:hAnsi="黑体" w:eastAsia="黑体"/>
          <w:sz w:val="24"/>
          <w:szCs w:val="24"/>
        </w:rPr>
        <w:t>年）</w:t>
      </w:r>
    </w:p>
    <w:p w14:paraId="70A0B562">
      <w:pPr>
        <w:pStyle w:val="2"/>
        <w:spacing w:before="120" w:after="120" w:line="240" w:lineRule="auto"/>
        <w:jc w:val="center"/>
        <w:rPr>
          <w:rFonts w:hint="eastAsia" w:ascii="黑体" w:hAnsi="黑体" w:eastAsia="黑体"/>
          <w:b w:val="0"/>
          <w:bCs w:val="0"/>
          <w:sz w:val="28"/>
          <w:szCs w:val="28"/>
        </w:rPr>
      </w:pPr>
      <w:r>
        <w:rPr>
          <w:rFonts w:hint="eastAsia" w:ascii="黑体" w:hAnsi="黑体" w:eastAsia="黑体"/>
          <w:b w:val="0"/>
          <w:bCs w:val="0"/>
          <w:sz w:val="28"/>
          <w:szCs w:val="28"/>
        </w:rPr>
        <w:t>第一章 总 则</w:t>
      </w:r>
    </w:p>
    <w:p w14:paraId="605B5E5F">
      <w:pPr>
        <w:spacing w:line="360" w:lineRule="auto"/>
        <w:ind w:firstLine="420"/>
        <w:jc w:val="both"/>
        <w:rPr>
          <w:rFonts w:hint="eastAsia"/>
          <w:sz w:val="24"/>
          <w:szCs w:val="24"/>
        </w:rPr>
      </w:pPr>
      <w:r>
        <w:rPr>
          <w:rStyle w:val="16"/>
          <w:rFonts w:hint="eastAsia" w:ascii="黑体" w:hAnsi="黑体" w:eastAsia="黑体"/>
          <w:b w:val="0"/>
          <w:bCs w:val="0"/>
          <w:sz w:val="24"/>
          <w:szCs w:val="24"/>
        </w:rPr>
        <w:t>第一条</w:t>
      </w:r>
      <w:r>
        <w:rPr>
          <w:sz w:val="24"/>
          <w:szCs w:val="24"/>
        </w:rPr>
        <w:t xml:space="preserve"> </w:t>
      </w:r>
      <w:r>
        <w:rPr>
          <w:rFonts w:hint="eastAsia"/>
          <w:sz w:val="24"/>
          <w:szCs w:val="24"/>
        </w:rPr>
        <w:t>根据学校印发《浙江工业大学研究生学业奖学金实施细则》(浙工大发〔2025〕68 号)，结合我院实际，特制定本办法。研究生</w:t>
      </w:r>
      <w:r>
        <w:rPr>
          <w:rFonts w:hint="eastAsia"/>
          <w:sz w:val="24"/>
          <w:szCs w:val="24"/>
          <w:lang w:val="en-US"/>
        </w:rPr>
        <w:t>新生</w:t>
      </w:r>
      <w:r>
        <w:rPr>
          <w:rFonts w:hint="eastAsia"/>
          <w:sz w:val="24"/>
          <w:szCs w:val="24"/>
        </w:rPr>
        <w:t>学业奖学金用于激励纳入全国招生计划内的全日制非定向研究生勤奋学习、潜心科研、勇于创新、积极进取。</w:t>
      </w:r>
    </w:p>
    <w:p w14:paraId="2C404066">
      <w:pPr>
        <w:spacing w:line="360" w:lineRule="auto"/>
        <w:ind w:firstLine="420"/>
        <w:jc w:val="both"/>
        <w:rPr>
          <w:rFonts w:hint="eastAsia"/>
          <w:sz w:val="24"/>
          <w:szCs w:val="24"/>
        </w:rPr>
      </w:pPr>
      <w:r>
        <w:rPr>
          <w:rStyle w:val="16"/>
          <w:rFonts w:hint="eastAsia" w:ascii="黑体" w:hAnsi="黑体" w:eastAsia="黑体"/>
          <w:b w:val="0"/>
          <w:bCs w:val="0"/>
          <w:sz w:val="24"/>
          <w:szCs w:val="24"/>
        </w:rPr>
        <w:t>第二条</w:t>
      </w:r>
      <w:r>
        <w:rPr>
          <w:sz w:val="24"/>
          <w:szCs w:val="24"/>
        </w:rPr>
        <w:t xml:space="preserve"> </w:t>
      </w:r>
      <w:r>
        <w:rPr>
          <w:rFonts w:hint="eastAsia"/>
          <w:sz w:val="24"/>
          <w:szCs w:val="24"/>
        </w:rPr>
        <w:t>研究生学业奖学金基本申请条件：</w:t>
      </w:r>
    </w:p>
    <w:p w14:paraId="37F35362">
      <w:pPr>
        <w:spacing w:line="360" w:lineRule="auto"/>
        <w:ind w:firstLine="420"/>
        <w:jc w:val="both"/>
        <w:rPr>
          <w:rFonts w:hint="eastAsia"/>
          <w:sz w:val="24"/>
          <w:szCs w:val="24"/>
        </w:rPr>
      </w:pPr>
      <w:r>
        <w:rPr>
          <w:rFonts w:hint="eastAsia"/>
          <w:sz w:val="24"/>
          <w:szCs w:val="24"/>
        </w:rPr>
        <w:t>（一）热爱社会主义祖国，拥护中国共产党的领导；</w:t>
      </w:r>
    </w:p>
    <w:p w14:paraId="0CD2B7A3">
      <w:pPr>
        <w:spacing w:line="360" w:lineRule="auto"/>
        <w:ind w:firstLine="420"/>
        <w:jc w:val="both"/>
        <w:rPr>
          <w:rFonts w:hint="eastAsia"/>
          <w:sz w:val="24"/>
          <w:szCs w:val="24"/>
        </w:rPr>
      </w:pPr>
      <w:r>
        <w:rPr>
          <w:rFonts w:hint="eastAsia"/>
          <w:sz w:val="24"/>
          <w:szCs w:val="24"/>
        </w:rPr>
        <w:t>（二）遵守宪法和法律，遵守高等学校规章制度；</w:t>
      </w:r>
    </w:p>
    <w:p w14:paraId="0ADBA450">
      <w:pPr>
        <w:spacing w:line="360" w:lineRule="auto"/>
        <w:ind w:firstLine="420"/>
        <w:jc w:val="both"/>
        <w:rPr>
          <w:rFonts w:hint="eastAsia"/>
          <w:sz w:val="24"/>
          <w:szCs w:val="24"/>
        </w:rPr>
      </w:pPr>
      <w:r>
        <w:rPr>
          <w:rFonts w:hint="eastAsia"/>
          <w:sz w:val="24"/>
          <w:szCs w:val="24"/>
        </w:rPr>
        <w:t>（三）诚实守信，品学兼优；</w:t>
      </w:r>
    </w:p>
    <w:p w14:paraId="273B381A">
      <w:pPr>
        <w:spacing w:line="360" w:lineRule="auto"/>
        <w:ind w:firstLine="420"/>
        <w:jc w:val="both"/>
        <w:rPr>
          <w:rFonts w:hint="eastAsia"/>
          <w:sz w:val="24"/>
          <w:szCs w:val="24"/>
        </w:rPr>
      </w:pPr>
      <w:r>
        <w:rPr>
          <w:rFonts w:hint="eastAsia"/>
          <w:sz w:val="24"/>
          <w:szCs w:val="24"/>
        </w:rPr>
        <w:t>（四）积极参与科学研究和社会实践。</w:t>
      </w:r>
    </w:p>
    <w:p w14:paraId="25E40946">
      <w:pPr>
        <w:spacing w:line="360" w:lineRule="auto"/>
        <w:ind w:firstLine="420"/>
        <w:jc w:val="both"/>
        <w:rPr>
          <w:rFonts w:hint="eastAsia"/>
          <w:sz w:val="24"/>
          <w:szCs w:val="24"/>
        </w:rPr>
      </w:pPr>
      <w:r>
        <w:rPr>
          <w:rStyle w:val="16"/>
          <w:rFonts w:hint="eastAsia" w:ascii="黑体" w:hAnsi="黑体" w:eastAsia="黑体"/>
          <w:b w:val="0"/>
          <w:bCs w:val="0"/>
          <w:sz w:val="24"/>
          <w:szCs w:val="24"/>
        </w:rPr>
        <w:t>第三条</w:t>
      </w:r>
      <w:r>
        <w:rPr>
          <w:sz w:val="24"/>
          <w:szCs w:val="24"/>
        </w:rPr>
        <w:t xml:space="preserve"> </w:t>
      </w:r>
      <w:r>
        <w:rPr>
          <w:rFonts w:hint="eastAsia"/>
          <w:sz w:val="24"/>
          <w:szCs w:val="24"/>
        </w:rPr>
        <w:t>直博生、本硕博一体化培养研究生和招生简章中注明不授予中间学位的硕博连读生，根据当年所修课程的层次阶段确定身份参与学业奖学金的评定。</w:t>
      </w:r>
    </w:p>
    <w:p w14:paraId="38449560">
      <w:pPr>
        <w:spacing w:line="360" w:lineRule="auto"/>
        <w:ind w:firstLine="420"/>
        <w:jc w:val="both"/>
        <w:rPr>
          <w:rFonts w:hint="eastAsia"/>
          <w:sz w:val="24"/>
          <w:szCs w:val="24"/>
        </w:rPr>
      </w:pPr>
      <w:r>
        <w:rPr>
          <w:rStyle w:val="16"/>
          <w:rFonts w:hint="eastAsia" w:ascii="黑体" w:hAnsi="黑体" w:eastAsia="黑体"/>
          <w:b w:val="0"/>
          <w:bCs w:val="0"/>
          <w:sz w:val="24"/>
          <w:szCs w:val="24"/>
        </w:rPr>
        <w:t>第</w:t>
      </w:r>
      <w:r>
        <w:rPr>
          <w:rStyle w:val="16"/>
          <w:rFonts w:hint="eastAsia" w:ascii="黑体" w:hAnsi="黑体" w:eastAsia="黑体"/>
          <w:b w:val="0"/>
          <w:bCs w:val="0"/>
          <w:sz w:val="24"/>
          <w:szCs w:val="24"/>
          <w:lang w:val="en-US"/>
        </w:rPr>
        <w:t>四</w:t>
      </w:r>
      <w:r>
        <w:rPr>
          <w:rStyle w:val="16"/>
          <w:rFonts w:hint="eastAsia" w:ascii="黑体" w:hAnsi="黑体" w:eastAsia="黑体"/>
          <w:b w:val="0"/>
          <w:bCs w:val="0"/>
          <w:sz w:val="24"/>
          <w:szCs w:val="24"/>
        </w:rPr>
        <w:t>条</w:t>
      </w:r>
      <w:r>
        <w:rPr>
          <w:sz w:val="24"/>
          <w:szCs w:val="24"/>
        </w:rPr>
        <w:t xml:space="preserve"> </w:t>
      </w:r>
      <w:r>
        <w:rPr>
          <w:rFonts w:hint="eastAsia"/>
          <w:sz w:val="24"/>
          <w:szCs w:val="24"/>
        </w:rPr>
        <w:t>研究生有下列情况者，不能参加该学年研究生学业奖学金的评定：</w:t>
      </w:r>
    </w:p>
    <w:p w14:paraId="3A2360A3">
      <w:pPr>
        <w:spacing w:line="360" w:lineRule="auto"/>
        <w:ind w:firstLine="420"/>
        <w:jc w:val="both"/>
        <w:rPr>
          <w:rFonts w:hint="eastAsia"/>
          <w:sz w:val="24"/>
          <w:szCs w:val="24"/>
        </w:rPr>
      </w:pPr>
      <w:r>
        <w:rPr>
          <w:rFonts w:hint="eastAsia"/>
          <w:sz w:val="24"/>
          <w:szCs w:val="24"/>
        </w:rPr>
        <w:t>（一）无正当理由不按时足额缴纳研究生学费的；</w:t>
      </w:r>
    </w:p>
    <w:p w14:paraId="7A3F221B">
      <w:pPr>
        <w:spacing w:line="360" w:lineRule="auto"/>
        <w:ind w:firstLine="420"/>
        <w:jc w:val="both"/>
        <w:rPr>
          <w:rFonts w:hint="eastAsia"/>
          <w:sz w:val="24"/>
          <w:szCs w:val="24"/>
        </w:rPr>
      </w:pPr>
      <w:r>
        <w:rPr>
          <w:rFonts w:hint="eastAsia"/>
          <w:sz w:val="24"/>
          <w:szCs w:val="24"/>
        </w:rPr>
        <w:t>（二）超过正常学制年限的；</w:t>
      </w:r>
    </w:p>
    <w:p w14:paraId="630C5E4B">
      <w:pPr>
        <w:spacing w:line="360" w:lineRule="auto"/>
        <w:ind w:firstLine="420"/>
        <w:jc w:val="both"/>
        <w:rPr>
          <w:rFonts w:hint="eastAsia"/>
          <w:sz w:val="24"/>
          <w:szCs w:val="24"/>
        </w:rPr>
      </w:pPr>
      <w:r>
        <w:rPr>
          <w:rFonts w:hint="eastAsia"/>
          <w:sz w:val="24"/>
          <w:szCs w:val="24"/>
        </w:rPr>
        <w:t>（三）处于保留入学资格或休学期间的；</w:t>
      </w:r>
    </w:p>
    <w:p w14:paraId="6C8A4014">
      <w:pPr>
        <w:spacing w:line="360" w:lineRule="auto"/>
        <w:ind w:firstLine="420"/>
        <w:jc w:val="both"/>
        <w:rPr>
          <w:rFonts w:hint="eastAsia"/>
          <w:sz w:val="24"/>
          <w:szCs w:val="24"/>
        </w:rPr>
      </w:pPr>
      <w:r>
        <w:rPr>
          <w:rFonts w:hint="eastAsia"/>
          <w:sz w:val="24"/>
          <w:szCs w:val="24"/>
        </w:rPr>
        <w:t>（四）违反浙江工业大学校纪校规并受处分的；</w:t>
      </w:r>
    </w:p>
    <w:p w14:paraId="0EC9417F">
      <w:pPr>
        <w:spacing w:line="360" w:lineRule="auto"/>
        <w:ind w:firstLine="420"/>
        <w:jc w:val="both"/>
        <w:rPr>
          <w:rFonts w:hint="eastAsia"/>
          <w:sz w:val="24"/>
          <w:szCs w:val="24"/>
        </w:rPr>
      </w:pPr>
      <w:r>
        <w:rPr>
          <w:rFonts w:hint="eastAsia"/>
          <w:sz w:val="24"/>
          <w:szCs w:val="24"/>
        </w:rPr>
        <w:t>（五）导师和学院认为不适合参评的其它情况。</w:t>
      </w:r>
    </w:p>
    <w:p w14:paraId="59E24CEC">
      <w:pPr>
        <w:pStyle w:val="2"/>
        <w:spacing w:before="120" w:after="120" w:line="240" w:lineRule="auto"/>
        <w:jc w:val="center"/>
        <w:rPr>
          <w:rFonts w:hint="eastAsia" w:ascii="黑体" w:hAnsi="黑体" w:eastAsia="黑体"/>
          <w:b w:val="0"/>
          <w:bCs w:val="0"/>
          <w:sz w:val="28"/>
          <w:szCs w:val="28"/>
        </w:rPr>
      </w:pPr>
      <w:r>
        <w:rPr>
          <w:rFonts w:hint="eastAsia" w:ascii="黑体" w:hAnsi="黑体" w:eastAsia="黑体"/>
          <w:b w:val="0"/>
          <w:bCs w:val="0"/>
          <w:sz w:val="28"/>
          <w:szCs w:val="28"/>
        </w:rPr>
        <w:t xml:space="preserve">第二章 </w:t>
      </w:r>
      <w:r>
        <w:rPr>
          <w:rFonts w:hint="eastAsia" w:ascii="黑体" w:hAnsi="黑体" w:eastAsia="黑体"/>
          <w:b w:val="0"/>
          <w:bCs w:val="0"/>
          <w:sz w:val="28"/>
          <w:szCs w:val="28"/>
          <w:lang w:val="en-US"/>
        </w:rPr>
        <w:t>组织实施</w:t>
      </w:r>
    </w:p>
    <w:p w14:paraId="59ADE4E1">
      <w:pPr>
        <w:spacing w:line="360" w:lineRule="auto"/>
        <w:ind w:firstLine="420"/>
        <w:jc w:val="both"/>
        <w:rPr>
          <w:rFonts w:hint="eastAsia"/>
          <w:sz w:val="24"/>
          <w:szCs w:val="24"/>
        </w:rPr>
      </w:pPr>
      <w:r>
        <w:rPr>
          <w:rStyle w:val="16"/>
          <w:rFonts w:hint="eastAsia" w:ascii="黑体" w:hAnsi="黑体" w:eastAsia="黑体"/>
          <w:b w:val="0"/>
          <w:bCs w:val="0"/>
          <w:sz w:val="24"/>
          <w:szCs w:val="24"/>
        </w:rPr>
        <w:t>第</w:t>
      </w:r>
      <w:r>
        <w:rPr>
          <w:rStyle w:val="16"/>
          <w:rFonts w:hint="eastAsia" w:ascii="黑体" w:hAnsi="黑体" w:eastAsia="黑体"/>
          <w:b w:val="0"/>
          <w:bCs w:val="0"/>
          <w:sz w:val="24"/>
          <w:szCs w:val="24"/>
          <w:lang w:val="en-US"/>
        </w:rPr>
        <w:t>五</w:t>
      </w:r>
      <w:r>
        <w:rPr>
          <w:rStyle w:val="16"/>
          <w:rFonts w:hint="eastAsia" w:ascii="黑体" w:hAnsi="黑体" w:eastAsia="黑体"/>
          <w:b w:val="0"/>
          <w:bCs w:val="0"/>
          <w:sz w:val="24"/>
          <w:szCs w:val="24"/>
        </w:rPr>
        <w:t>条</w:t>
      </w:r>
      <w:r>
        <w:rPr>
          <w:sz w:val="24"/>
          <w:szCs w:val="24"/>
        </w:rPr>
        <w:t xml:space="preserve"> </w:t>
      </w:r>
      <w:r>
        <w:rPr>
          <w:rFonts w:hint="eastAsia"/>
          <w:sz w:val="24"/>
          <w:szCs w:val="24"/>
        </w:rPr>
        <w:t>研究生新生学业奖学金</w:t>
      </w:r>
      <w:r>
        <w:rPr>
          <w:sz w:val="24"/>
          <w:szCs w:val="24"/>
        </w:rPr>
        <w:t>每学年进行一次，一般在</w:t>
      </w:r>
      <w:r>
        <w:rPr>
          <w:rFonts w:hint="eastAsia"/>
          <w:sz w:val="24"/>
          <w:szCs w:val="24"/>
          <w:lang w:val="en-US"/>
        </w:rPr>
        <w:t>9-10</w:t>
      </w:r>
      <w:r>
        <w:rPr>
          <w:sz w:val="24"/>
          <w:szCs w:val="24"/>
        </w:rPr>
        <w:t>月份进行。</w:t>
      </w:r>
    </w:p>
    <w:p w14:paraId="7F328232">
      <w:pPr>
        <w:spacing w:line="360" w:lineRule="auto"/>
        <w:ind w:firstLine="420"/>
        <w:jc w:val="both"/>
        <w:rPr>
          <w:rFonts w:hint="eastAsia"/>
          <w:sz w:val="24"/>
          <w:szCs w:val="24"/>
        </w:rPr>
      </w:pPr>
      <w:r>
        <w:rPr>
          <w:rStyle w:val="16"/>
          <w:rFonts w:hint="eastAsia" w:ascii="黑体" w:hAnsi="黑体" w:eastAsia="黑体"/>
          <w:b w:val="0"/>
          <w:bCs w:val="0"/>
          <w:sz w:val="24"/>
          <w:szCs w:val="24"/>
        </w:rPr>
        <w:t>第</w:t>
      </w:r>
      <w:r>
        <w:rPr>
          <w:rStyle w:val="16"/>
          <w:rFonts w:hint="eastAsia" w:ascii="黑体" w:hAnsi="黑体" w:eastAsia="黑体"/>
          <w:b w:val="0"/>
          <w:bCs w:val="0"/>
          <w:sz w:val="24"/>
          <w:szCs w:val="24"/>
          <w:lang w:val="en-US"/>
        </w:rPr>
        <w:t>六</w:t>
      </w:r>
      <w:r>
        <w:rPr>
          <w:rStyle w:val="16"/>
          <w:rFonts w:hint="eastAsia" w:ascii="黑体" w:hAnsi="黑体" w:eastAsia="黑体"/>
          <w:b w:val="0"/>
          <w:bCs w:val="0"/>
          <w:sz w:val="24"/>
          <w:szCs w:val="24"/>
        </w:rPr>
        <w:t>条</w:t>
      </w:r>
      <w:r>
        <w:rPr>
          <w:sz w:val="24"/>
          <w:szCs w:val="24"/>
        </w:rPr>
        <w:t xml:space="preserve"> 学院成立</w:t>
      </w:r>
      <w:r>
        <w:rPr>
          <w:rFonts w:hint="eastAsia"/>
          <w:sz w:val="24"/>
          <w:szCs w:val="24"/>
          <w:lang w:val="en-US"/>
        </w:rPr>
        <w:t>奖学金评定</w:t>
      </w:r>
      <w:r>
        <w:rPr>
          <w:sz w:val="24"/>
          <w:szCs w:val="24"/>
        </w:rPr>
        <w:t>小组，由学院分管学生工作的副书记</w:t>
      </w:r>
      <w:r>
        <w:rPr>
          <w:rFonts w:hint="eastAsia"/>
          <w:sz w:val="24"/>
          <w:szCs w:val="24"/>
          <w:lang w:val="en-US"/>
        </w:rPr>
        <w:t>和分管研究生工作的副院长</w:t>
      </w:r>
      <w:r>
        <w:rPr>
          <w:sz w:val="24"/>
          <w:szCs w:val="24"/>
        </w:rPr>
        <w:t>任组长， 成员由研究生辅导员、研究生教务秘书、导师代表、研究生代表组成，对全院研究生</w:t>
      </w:r>
      <w:r>
        <w:rPr>
          <w:rFonts w:hint="eastAsia"/>
          <w:sz w:val="24"/>
          <w:szCs w:val="24"/>
          <w:lang w:val="en-US"/>
        </w:rPr>
        <w:t>新生学业奖学金</w:t>
      </w:r>
      <w:r>
        <w:rPr>
          <w:sz w:val="24"/>
          <w:szCs w:val="24"/>
        </w:rPr>
        <w:t>结果进行复审，并将复审结果公示三天。无异议后，公示终稿，上报研究生工作部。</w:t>
      </w:r>
    </w:p>
    <w:p w14:paraId="4FB9BF09">
      <w:pPr>
        <w:pStyle w:val="2"/>
        <w:spacing w:before="120" w:after="120" w:line="240" w:lineRule="auto"/>
        <w:jc w:val="center"/>
        <w:rPr>
          <w:rFonts w:hint="eastAsia" w:ascii="黑体" w:hAnsi="黑体" w:eastAsia="黑体"/>
          <w:b w:val="0"/>
          <w:bCs w:val="0"/>
          <w:sz w:val="28"/>
          <w:szCs w:val="28"/>
        </w:rPr>
      </w:pPr>
      <w:r>
        <w:rPr>
          <w:rFonts w:hint="eastAsia" w:ascii="黑体" w:hAnsi="黑体" w:eastAsia="黑体"/>
          <w:b w:val="0"/>
          <w:bCs w:val="0"/>
          <w:sz w:val="28"/>
          <w:szCs w:val="28"/>
        </w:rPr>
        <w:t>第三章 测评细则</w:t>
      </w:r>
    </w:p>
    <w:p w14:paraId="23E29450">
      <w:pPr>
        <w:spacing w:line="360" w:lineRule="auto"/>
        <w:ind w:firstLine="420"/>
        <w:rPr>
          <w:rFonts w:hint="eastAsia"/>
          <w:sz w:val="24"/>
          <w:szCs w:val="24"/>
        </w:rPr>
      </w:pPr>
      <w:r>
        <w:rPr>
          <w:rStyle w:val="16"/>
          <w:rFonts w:hint="eastAsia" w:ascii="黑体" w:hAnsi="黑体" w:eastAsia="黑体"/>
          <w:b w:val="0"/>
          <w:bCs w:val="0"/>
          <w:sz w:val="24"/>
          <w:szCs w:val="24"/>
        </w:rPr>
        <w:t>第</w:t>
      </w:r>
      <w:r>
        <w:rPr>
          <w:rStyle w:val="16"/>
          <w:rFonts w:hint="eastAsia" w:ascii="黑体" w:hAnsi="黑体" w:eastAsia="黑体"/>
          <w:b w:val="0"/>
          <w:bCs w:val="0"/>
          <w:sz w:val="24"/>
          <w:szCs w:val="24"/>
          <w:lang w:val="en-US"/>
        </w:rPr>
        <w:t>七</w:t>
      </w:r>
      <w:r>
        <w:rPr>
          <w:rStyle w:val="16"/>
          <w:rFonts w:hint="eastAsia" w:ascii="黑体" w:hAnsi="黑体" w:eastAsia="黑体"/>
          <w:b w:val="0"/>
          <w:bCs w:val="0"/>
          <w:sz w:val="24"/>
          <w:szCs w:val="24"/>
        </w:rPr>
        <w:t>条</w:t>
      </w:r>
      <w:r>
        <w:rPr>
          <w:sz w:val="24"/>
          <w:szCs w:val="24"/>
        </w:rPr>
        <w:t xml:space="preserve"> </w:t>
      </w:r>
      <w:r>
        <w:rPr>
          <w:rFonts w:hint="eastAsia"/>
          <w:sz w:val="24"/>
          <w:szCs w:val="24"/>
        </w:rPr>
        <w:t>研究生学业奖学金参考标准：</w:t>
      </w:r>
    </w:p>
    <w:tbl>
      <w:tblPr>
        <w:tblStyle w:val="9"/>
        <w:tblW w:w="8398"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1811"/>
        <w:gridCol w:w="1813"/>
        <w:gridCol w:w="3052"/>
        <w:gridCol w:w="1722"/>
      </w:tblGrid>
      <w:tr w14:paraId="6921EEB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0" w:hRule="atLeast"/>
          <w:jc w:val="center"/>
        </w:trPr>
        <w:tc>
          <w:tcPr>
            <w:tcW w:w="1811" w:type="dxa"/>
            <w:vMerge w:val="restart"/>
            <w:tcBorders>
              <w:top w:val="single" w:color="auto" w:sz="4" w:space="0"/>
              <w:left w:val="single" w:color="auto" w:sz="4" w:space="0"/>
              <w:bottom w:val="single" w:color="auto" w:sz="4" w:space="0"/>
              <w:right w:val="single" w:color="auto" w:sz="4" w:space="0"/>
            </w:tcBorders>
            <w:vAlign w:val="center"/>
          </w:tcPr>
          <w:p w14:paraId="466084F3">
            <w:pPr>
              <w:widowControl/>
              <w:adjustRightInd w:val="0"/>
              <w:snapToGrid w:val="0"/>
              <w:spacing w:line="576" w:lineRule="exact"/>
              <w:jc w:val="center"/>
              <w:rPr>
                <w:rFonts w:hint="eastAsia" w:ascii="黑体" w:hAnsi="黑体" w:eastAsia="黑体" w:cs="宋体"/>
                <w:b w:val="0"/>
                <w:bCs w:val="0"/>
                <w:kern w:val="44"/>
                <w:sz w:val="28"/>
                <w:szCs w:val="28"/>
                <w:lang w:val="zh-CN" w:eastAsia="zh-CN" w:bidi="zh-CN"/>
              </w:rPr>
            </w:pPr>
            <w:r>
              <w:rPr>
                <w:rFonts w:hint="eastAsia" w:ascii="黑体" w:hAnsi="黑体" w:eastAsia="黑体" w:cs="宋体"/>
                <w:b w:val="0"/>
                <w:bCs w:val="0"/>
                <w:kern w:val="44"/>
                <w:sz w:val="28"/>
                <w:szCs w:val="28"/>
                <w:lang w:val="zh-CN" w:eastAsia="zh-CN" w:bidi="zh-CN"/>
              </w:rPr>
              <w:t>类别</w:t>
            </w:r>
          </w:p>
        </w:tc>
        <w:tc>
          <w:tcPr>
            <w:tcW w:w="1813" w:type="dxa"/>
            <w:vMerge w:val="restart"/>
            <w:tcBorders>
              <w:top w:val="single" w:color="auto" w:sz="4" w:space="0"/>
              <w:bottom w:val="single" w:color="auto" w:sz="4" w:space="0"/>
              <w:right w:val="single" w:color="auto" w:sz="4" w:space="0"/>
            </w:tcBorders>
            <w:vAlign w:val="center"/>
          </w:tcPr>
          <w:p w14:paraId="7FD9277B">
            <w:pPr>
              <w:widowControl/>
              <w:adjustRightInd w:val="0"/>
              <w:snapToGrid w:val="0"/>
              <w:spacing w:line="576" w:lineRule="exact"/>
              <w:jc w:val="center"/>
              <w:rPr>
                <w:rFonts w:hint="eastAsia" w:ascii="黑体" w:hAnsi="黑体" w:eastAsia="黑体" w:cs="宋体"/>
                <w:b w:val="0"/>
                <w:bCs w:val="0"/>
                <w:kern w:val="44"/>
                <w:sz w:val="28"/>
                <w:szCs w:val="28"/>
                <w:lang w:val="zh-CN" w:eastAsia="zh-CN" w:bidi="zh-CN"/>
              </w:rPr>
            </w:pPr>
            <w:r>
              <w:rPr>
                <w:rFonts w:hint="eastAsia" w:ascii="黑体" w:hAnsi="黑体" w:eastAsia="黑体" w:cs="宋体"/>
                <w:b w:val="0"/>
                <w:bCs w:val="0"/>
                <w:kern w:val="44"/>
                <w:sz w:val="28"/>
                <w:szCs w:val="28"/>
                <w:lang w:val="zh-CN" w:eastAsia="zh-CN" w:bidi="zh-CN"/>
              </w:rPr>
              <w:t>等级</w:t>
            </w:r>
          </w:p>
        </w:tc>
        <w:tc>
          <w:tcPr>
            <w:tcW w:w="4774" w:type="dxa"/>
            <w:gridSpan w:val="2"/>
            <w:tcBorders>
              <w:top w:val="single" w:color="auto" w:sz="4" w:space="0"/>
              <w:bottom w:val="single" w:color="auto" w:sz="4" w:space="0"/>
              <w:right w:val="single" w:color="auto" w:sz="4" w:space="0"/>
            </w:tcBorders>
            <w:vAlign w:val="center"/>
          </w:tcPr>
          <w:p w14:paraId="48CC8548">
            <w:pPr>
              <w:widowControl/>
              <w:adjustRightInd w:val="0"/>
              <w:snapToGrid w:val="0"/>
              <w:spacing w:line="576" w:lineRule="exact"/>
              <w:jc w:val="center"/>
              <w:rPr>
                <w:rFonts w:hint="eastAsia" w:ascii="黑体" w:hAnsi="黑体" w:eastAsia="黑体" w:cs="宋体"/>
                <w:b w:val="0"/>
                <w:bCs w:val="0"/>
                <w:kern w:val="44"/>
                <w:sz w:val="28"/>
                <w:szCs w:val="28"/>
                <w:lang w:val="zh-CN" w:eastAsia="zh-CN" w:bidi="zh-CN"/>
              </w:rPr>
            </w:pPr>
            <w:r>
              <w:rPr>
                <w:rFonts w:hint="eastAsia" w:ascii="黑体" w:hAnsi="黑体" w:eastAsia="黑体" w:cs="宋体"/>
                <w:b w:val="0"/>
                <w:bCs w:val="0"/>
                <w:kern w:val="44"/>
                <w:sz w:val="28"/>
                <w:szCs w:val="28"/>
                <w:lang w:val="zh-CN" w:eastAsia="zh-CN" w:bidi="zh-CN"/>
              </w:rPr>
              <w:t>一年级</w:t>
            </w:r>
          </w:p>
        </w:tc>
      </w:tr>
      <w:tr w14:paraId="247B14F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0" w:hRule="atLeast"/>
          <w:jc w:val="center"/>
        </w:trPr>
        <w:tc>
          <w:tcPr>
            <w:tcW w:w="1811" w:type="dxa"/>
            <w:vMerge w:val="continue"/>
            <w:tcBorders>
              <w:top w:val="single" w:color="auto" w:sz="4" w:space="0"/>
              <w:left w:val="single" w:color="auto" w:sz="4" w:space="0"/>
              <w:bottom w:val="single" w:color="auto" w:sz="4" w:space="0"/>
              <w:right w:val="single" w:color="auto" w:sz="4" w:space="0"/>
            </w:tcBorders>
            <w:vAlign w:val="center"/>
          </w:tcPr>
          <w:p w14:paraId="55CF372C">
            <w:pPr>
              <w:rPr>
                <w:rFonts w:hint="eastAsia" w:ascii="黑体" w:hAnsi="黑体" w:eastAsia="黑体" w:cs="宋体"/>
                <w:b w:val="0"/>
                <w:bCs w:val="0"/>
                <w:kern w:val="44"/>
                <w:sz w:val="28"/>
                <w:szCs w:val="28"/>
                <w:lang w:val="zh-CN" w:eastAsia="zh-CN" w:bidi="zh-CN"/>
              </w:rPr>
            </w:pPr>
          </w:p>
        </w:tc>
        <w:tc>
          <w:tcPr>
            <w:tcW w:w="1813" w:type="dxa"/>
            <w:vMerge w:val="continue"/>
            <w:tcBorders>
              <w:top w:val="single" w:color="auto" w:sz="4" w:space="0"/>
              <w:bottom w:val="single" w:color="auto" w:sz="4" w:space="0"/>
              <w:right w:val="single" w:color="auto" w:sz="4" w:space="0"/>
            </w:tcBorders>
            <w:vAlign w:val="center"/>
          </w:tcPr>
          <w:p w14:paraId="09846D47">
            <w:pPr>
              <w:rPr>
                <w:rFonts w:hint="eastAsia" w:ascii="黑体" w:hAnsi="黑体" w:eastAsia="黑体" w:cs="宋体"/>
                <w:b w:val="0"/>
                <w:bCs w:val="0"/>
                <w:kern w:val="44"/>
                <w:sz w:val="28"/>
                <w:szCs w:val="28"/>
                <w:lang w:val="zh-CN" w:eastAsia="zh-CN" w:bidi="zh-CN"/>
              </w:rPr>
            </w:pPr>
          </w:p>
        </w:tc>
        <w:tc>
          <w:tcPr>
            <w:tcW w:w="3052" w:type="dxa"/>
            <w:tcBorders>
              <w:top w:val="single" w:color="auto" w:sz="4" w:space="0"/>
              <w:bottom w:val="single" w:color="auto" w:sz="4" w:space="0"/>
              <w:right w:val="single" w:color="auto" w:sz="4" w:space="0"/>
            </w:tcBorders>
            <w:vAlign w:val="center"/>
          </w:tcPr>
          <w:p w14:paraId="3860EB8D">
            <w:pPr>
              <w:widowControl/>
              <w:adjustRightInd w:val="0"/>
              <w:snapToGrid w:val="0"/>
              <w:spacing w:line="576" w:lineRule="exact"/>
              <w:jc w:val="center"/>
              <w:rPr>
                <w:rFonts w:hint="eastAsia" w:ascii="黑体" w:hAnsi="黑体" w:eastAsia="黑体" w:cs="宋体"/>
                <w:b w:val="0"/>
                <w:bCs w:val="0"/>
                <w:kern w:val="44"/>
                <w:sz w:val="28"/>
                <w:szCs w:val="28"/>
                <w:lang w:val="zh-CN" w:eastAsia="zh-CN" w:bidi="zh-CN"/>
              </w:rPr>
            </w:pPr>
            <w:r>
              <w:rPr>
                <w:rFonts w:hint="eastAsia" w:ascii="黑体" w:hAnsi="黑体" w:eastAsia="黑体" w:cs="宋体"/>
                <w:b w:val="0"/>
                <w:bCs w:val="0"/>
                <w:kern w:val="44"/>
                <w:sz w:val="28"/>
                <w:szCs w:val="28"/>
                <w:lang w:val="zh-CN" w:eastAsia="zh-CN" w:bidi="zh-CN"/>
              </w:rPr>
              <w:t>金额（元/年）</w:t>
            </w:r>
          </w:p>
        </w:tc>
        <w:tc>
          <w:tcPr>
            <w:tcW w:w="1722" w:type="dxa"/>
            <w:tcBorders>
              <w:top w:val="single" w:color="auto" w:sz="4" w:space="0"/>
              <w:bottom w:val="single" w:color="auto" w:sz="4" w:space="0"/>
              <w:right w:val="single" w:color="auto" w:sz="4" w:space="0"/>
            </w:tcBorders>
            <w:vAlign w:val="center"/>
          </w:tcPr>
          <w:p w14:paraId="793940E2">
            <w:pPr>
              <w:widowControl/>
              <w:adjustRightInd w:val="0"/>
              <w:snapToGrid w:val="0"/>
              <w:spacing w:line="576" w:lineRule="exact"/>
              <w:jc w:val="center"/>
              <w:rPr>
                <w:rFonts w:hint="eastAsia" w:ascii="黑体" w:hAnsi="黑体" w:eastAsia="黑体" w:cs="宋体"/>
                <w:b w:val="0"/>
                <w:bCs w:val="0"/>
                <w:kern w:val="44"/>
                <w:sz w:val="28"/>
                <w:szCs w:val="28"/>
                <w:lang w:val="zh-CN" w:eastAsia="zh-CN" w:bidi="zh-CN"/>
              </w:rPr>
            </w:pPr>
            <w:r>
              <w:rPr>
                <w:rFonts w:hint="eastAsia" w:ascii="黑体" w:hAnsi="黑体" w:eastAsia="黑体" w:cs="宋体"/>
                <w:b w:val="0"/>
                <w:bCs w:val="0"/>
                <w:kern w:val="44"/>
                <w:sz w:val="28"/>
                <w:szCs w:val="28"/>
                <w:lang w:val="zh-CN" w:eastAsia="zh-CN" w:bidi="zh-CN"/>
              </w:rPr>
              <w:t>比例</w:t>
            </w:r>
          </w:p>
        </w:tc>
      </w:tr>
      <w:tr w14:paraId="27EF4EA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0" w:hRule="atLeast"/>
          <w:jc w:val="center"/>
        </w:trPr>
        <w:tc>
          <w:tcPr>
            <w:tcW w:w="1811" w:type="dxa"/>
            <w:tcBorders>
              <w:top w:val="single" w:color="auto" w:sz="4" w:space="0"/>
              <w:left w:val="single" w:color="auto" w:sz="4" w:space="0"/>
              <w:bottom w:val="single" w:color="auto" w:sz="4" w:space="0"/>
              <w:right w:val="single" w:color="auto" w:sz="4" w:space="0"/>
            </w:tcBorders>
            <w:vAlign w:val="center"/>
          </w:tcPr>
          <w:p w14:paraId="20DF1853">
            <w:pPr>
              <w:spacing w:line="360" w:lineRule="auto"/>
              <w:ind w:firstLine="420"/>
              <w:jc w:val="both"/>
              <w:rPr>
                <w:rFonts w:hint="eastAsia"/>
                <w:sz w:val="24"/>
                <w:szCs w:val="24"/>
              </w:rPr>
            </w:pPr>
            <w:r>
              <w:rPr>
                <w:rFonts w:hint="eastAsia"/>
                <w:sz w:val="24"/>
                <w:szCs w:val="24"/>
              </w:rPr>
              <w:t>博士生</w:t>
            </w:r>
          </w:p>
        </w:tc>
        <w:tc>
          <w:tcPr>
            <w:tcW w:w="1813" w:type="dxa"/>
            <w:tcBorders>
              <w:top w:val="single" w:color="auto" w:sz="4" w:space="0"/>
              <w:bottom w:val="single" w:color="auto" w:sz="4" w:space="0"/>
              <w:right w:val="single" w:color="auto" w:sz="4" w:space="0"/>
            </w:tcBorders>
            <w:vAlign w:val="center"/>
          </w:tcPr>
          <w:p w14:paraId="29B4F987">
            <w:pPr>
              <w:spacing w:line="360" w:lineRule="auto"/>
              <w:jc w:val="center"/>
              <w:rPr>
                <w:rFonts w:hint="eastAsia"/>
                <w:sz w:val="24"/>
                <w:szCs w:val="24"/>
              </w:rPr>
            </w:pPr>
            <w:r>
              <w:rPr>
                <w:rFonts w:hint="eastAsia"/>
                <w:sz w:val="24"/>
                <w:szCs w:val="24"/>
              </w:rPr>
              <w:t>/</w:t>
            </w:r>
          </w:p>
        </w:tc>
        <w:tc>
          <w:tcPr>
            <w:tcW w:w="3052" w:type="dxa"/>
            <w:tcBorders>
              <w:top w:val="single" w:color="auto" w:sz="4" w:space="0"/>
              <w:bottom w:val="single" w:color="auto" w:sz="4" w:space="0"/>
              <w:right w:val="single" w:color="auto" w:sz="4" w:space="0"/>
            </w:tcBorders>
            <w:vAlign w:val="center"/>
          </w:tcPr>
          <w:p w14:paraId="1ED56D90">
            <w:pPr>
              <w:spacing w:line="360" w:lineRule="auto"/>
              <w:jc w:val="center"/>
              <w:rPr>
                <w:rFonts w:hint="eastAsia"/>
                <w:sz w:val="24"/>
                <w:szCs w:val="24"/>
              </w:rPr>
            </w:pPr>
            <w:r>
              <w:rPr>
                <w:rFonts w:hint="eastAsia"/>
                <w:sz w:val="24"/>
                <w:szCs w:val="24"/>
              </w:rPr>
              <w:t>15000</w:t>
            </w:r>
          </w:p>
        </w:tc>
        <w:tc>
          <w:tcPr>
            <w:tcW w:w="1722" w:type="dxa"/>
            <w:tcBorders>
              <w:top w:val="single" w:color="auto" w:sz="4" w:space="0"/>
              <w:bottom w:val="single" w:color="auto" w:sz="4" w:space="0"/>
              <w:right w:val="single" w:color="auto" w:sz="4" w:space="0"/>
            </w:tcBorders>
            <w:vAlign w:val="center"/>
          </w:tcPr>
          <w:p w14:paraId="7CD8E5A8">
            <w:pPr>
              <w:spacing w:line="360" w:lineRule="auto"/>
              <w:ind w:firstLine="420"/>
              <w:jc w:val="both"/>
              <w:rPr>
                <w:rFonts w:hint="eastAsia"/>
                <w:sz w:val="24"/>
                <w:szCs w:val="24"/>
              </w:rPr>
            </w:pPr>
            <w:r>
              <w:rPr>
                <w:rFonts w:hint="eastAsia"/>
                <w:sz w:val="24"/>
                <w:szCs w:val="24"/>
              </w:rPr>
              <w:t>100%</w:t>
            </w:r>
          </w:p>
        </w:tc>
      </w:tr>
      <w:tr w14:paraId="1B7CBD6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5" w:hRule="atLeast"/>
          <w:jc w:val="center"/>
        </w:trPr>
        <w:tc>
          <w:tcPr>
            <w:tcW w:w="1811" w:type="dxa"/>
            <w:vMerge w:val="restart"/>
            <w:tcBorders>
              <w:left w:val="single" w:color="auto" w:sz="4" w:space="0"/>
              <w:bottom w:val="single" w:color="auto" w:sz="4" w:space="0"/>
              <w:right w:val="single" w:color="auto" w:sz="4" w:space="0"/>
            </w:tcBorders>
            <w:vAlign w:val="center"/>
          </w:tcPr>
          <w:p w14:paraId="22A91072">
            <w:pPr>
              <w:spacing w:line="360" w:lineRule="auto"/>
              <w:ind w:firstLine="420"/>
              <w:jc w:val="both"/>
              <w:rPr>
                <w:rFonts w:hint="eastAsia"/>
                <w:sz w:val="24"/>
                <w:szCs w:val="24"/>
              </w:rPr>
            </w:pPr>
            <w:r>
              <w:rPr>
                <w:rFonts w:hint="eastAsia"/>
                <w:sz w:val="24"/>
                <w:szCs w:val="24"/>
              </w:rPr>
              <w:t>硕士生</w:t>
            </w:r>
          </w:p>
        </w:tc>
        <w:tc>
          <w:tcPr>
            <w:tcW w:w="1813" w:type="dxa"/>
            <w:tcBorders>
              <w:top w:val="single" w:color="auto" w:sz="4" w:space="0"/>
              <w:bottom w:val="single" w:color="auto" w:sz="4" w:space="0"/>
              <w:right w:val="single" w:color="auto" w:sz="4" w:space="0"/>
            </w:tcBorders>
            <w:vAlign w:val="center"/>
          </w:tcPr>
          <w:p w14:paraId="4AE8AC98">
            <w:pPr>
              <w:spacing w:line="360" w:lineRule="auto"/>
              <w:ind w:firstLine="420"/>
              <w:jc w:val="both"/>
              <w:rPr>
                <w:rFonts w:hint="eastAsia"/>
                <w:sz w:val="24"/>
                <w:szCs w:val="24"/>
              </w:rPr>
            </w:pPr>
            <w:r>
              <w:rPr>
                <w:rFonts w:hint="eastAsia"/>
                <w:sz w:val="24"/>
                <w:szCs w:val="24"/>
              </w:rPr>
              <w:t>一等奖</w:t>
            </w:r>
          </w:p>
        </w:tc>
        <w:tc>
          <w:tcPr>
            <w:tcW w:w="3052" w:type="dxa"/>
            <w:tcBorders>
              <w:top w:val="single" w:color="auto" w:sz="4" w:space="0"/>
              <w:bottom w:val="single" w:color="auto" w:sz="4" w:space="0"/>
              <w:right w:val="single" w:color="auto" w:sz="4" w:space="0"/>
            </w:tcBorders>
            <w:vAlign w:val="center"/>
          </w:tcPr>
          <w:p w14:paraId="5B32327C">
            <w:pPr>
              <w:spacing w:line="360" w:lineRule="auto"/>
              <w:jc w:val="center"/>
              <w:rPr>
                <w:rFonts w:hint="eastAsia"/>
                <w:sz w:val="24"/>
                <w:szCs w:val="24"/>
              </w:rPr>
            </w:pPr>
            <w:r>
              <w:rPr>
                <w:rFonts w:hint="eastAsia"/>
                <w:sz w:val="24"/>
                <w:szCs w:val="24"/>
              </w:rPr>
              <w:t>10000</w:t>
            </w:r>
          </w:p>
        </w:tc>
        <w:tc>
          <w:tcPr>
            <w:tcW w:w="1722" w:type="dxa"/>
            <w:tcBorders>
              <w:top w:val="single" w:color="auto" w:sz="4" w:space="0"/>
              <w:bottom w:val="single" w:color="auto" w:sz="4" w:space="0"/>
              <w:right w:val="single" w:color="auto" w:sz="4" w:space="0"/>
            </w:tcBorders>
            <w:vAlign w:val="center"/>
          </w:tcPr>
          <w:p w14:paraId="2FC7B523">
            <w:pPr>
              <w:spacing w:line="360" w:lineRule="auto"/>
              <w:ind w:firstLine="420"/>
              <w:jc w:val="both"/>
              <w:rPr>
                <w:rFonts w:hint="eastAsia"/>
                <w:sz w:val="24"/>
                <w:szCs w:val="24"/>
              </w:rPr>
            </w:pPr>
            <w:r>
              <w:rPr>
                <w:rFonts w:hint="eastAsia"/>
                <w:sz w:val="24"/>
                <w:szCs w:val="24"/>
              </w:rPr>
              <w:t>≤10%</w:t>
            </w:r>
          </w:p>
        </w:tc>
      </w:tr>
      <w:tr w14:paraId="160760A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5" w:hRule="atLeast"/>
          <w:jc w:val="center"/>
        </w:trPr>
        <w:tc>
          <w:tcPr>
            <w:tcW w:w="1811" w:type="dxa"/>
            <w:vMerge w:val="continue"/>
            <w:tcBorders>
              <w:left w:val="single" w:color="auto" w:sz="4" w:space="0"/>
              <w:bottom w:val="single" w:color="auto" w:sz="4" w:space="0"/>
              <w:right w:val="single" w:color="auto" w:sz="4" w:space="0"/>
            </w:tcBorders>
            <w:vAlign w:val="center"/>
          </w:tcPr>
          <w:p w14:paraId="1B7A1EE3">
            <w:pPr>
              <w:spacing w:line="360" w:lineRule="auto"/>
              <w:ind w:firstLine="420"/>
              <w:jc w:val="both"/>
              <w:rPr>
                <w:rFonts w:hint="eastAsia"/>
                <w:sz w:val="24"/>
                <w:szCs w:val="24"/>
              </w:rPr>
            </w:pPr>
          </w:p>
        </w:tc>
        <w:tc>
          <w:tcPr>
            <w:tcW w:w="1813" w:type="dxa"/>
            <w:tcBorders>
              <w:top w:val="single" w:color="auto" w:sz="4" w:space="0"/>
              <w:bottom w:val="single" w:color="auto" w:sz="4" w:space="0"/>
              <w:right w:val="single" w:color="auto" w:sz="4" w:space="0"/>
            </w:tcBorders>
            <w:vAlign w:val="center"/>
          </w:tcPr>
          <w:p w14:paraId="36FFAC7A">
            <w:pPr>
              <w:spacing w:line="360" w:lineRule="auto"/>
              <w:ind w:firstLine="420"/>
              <w:jc w:val="both"/>
              <w:rPr>
                <w:rFonts w:hint="eastAsia"/>
                <w:sz w:val="24"/>
                <w:szCs w:val="24"/>
              </w:rPr>
            </w:pPr>
            <w:r>
              <w:rPr>
                <w:rFonts w:hint="eastAsia"/>
                <w:sz w:val="24"/>
                <w:szCs w:val="24"/>
              </w:rPr>
              <w:t>二等奖</w:t>
            </w:r>
          </w:p>
        </w:tc>
        <w:tc>
          <w:tcPr>
            <w:tcW w:w="3052" w:type="dxa"/>
            <w:tcBorders>
              <w:top w:val="single" w:color="auto" w:sz="4" w:space="0"/>
              <w:bottom w:val="single" w:color="auto" w:sz="4" w:space="0"/>
              <w:right w:val="single" w:color="auto" w:sz="4" w:space="0"/>
            </w:tcBorders>
            <w:vAlign w:val="center"/>
          </w:tcPr>
          <w:p w14:paraId="09889F23">
            <w:pPr>
              <w:spacing w:line="360" w:lineRule="auto"/>
              <w:jc w:val="center"/>
              <w:rPr>
                <w:rFonts w:hint="eastAsia"/>
                <w:sz w:val="24"/>
                <w:szCs w:val="24"/>
              </w:rPr>
            </w:pPr>
            <w:r>
              <w:rPr>
                <w:rFonts w:hint="eastAsia"/>
                <w:sz w:val="24"/>
                <w:szCs w:val="24"/>
              </w:rPr>
              <w:t>8000</w:t>
            </w:r>
          </w:p>
        </w:tc>
        <w:tc>
          <w:tcPr>
            <w:tcW w:w="1722" w:type="dxa"/>
            <w:tcBorders>
              <w:top w:val="single" w:color="auto" w:sz="4" w:space="0"/>
              <w:bottom w:val="single" w:color="auto" w:sz="4" w:space="0"/>
              <w:right w:val="single" w:color="auto" w:sz="4" w:space="0"/>
            </w:tcBorders>
            <w:vAlign w:val="center"/>
          </w:tcPr>
          <w:p w14:paraId="594DBAE2">
            <w:pPr>
              <w:spacing w:line="360" w:lineRule="auto"/>
              <w:ind w:firstLine="420"/>
              <w:jc w:val="both"/>
              <w:rPr>
                <w:rFonts w:hint="eastAsia"/>
                <w:sz w:val="24"/>
                <w:szCs w:val="24"/>
              </w:rPr>
            </w:pPr>
            <w:r>
              <w:rPr>
                <w:rFonts w:hint="eastAsia"/>
                <w:sz w:val="24"/>
                <w:szCs w:val="24"/>
              </w:rPr>
              <w:t>≤40%</w:t>
            </w:r>
          </w:p>
        </w:tc>
      </w:tr>
      <w:tr w14:paraId="403F95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811" w:type="dxa"/>
            <w:vMerge w:val="continue"/>
            <w:tcBorders>
              <w:left w:val="single" w:color="auto" w:sz="4" w:space="0"/>
              <w:bottom w:val="single" w:color="auto" w:sz="4" w:space="0"/>
              <w:right w:val="single" w:color="auto" w:sz="4" w:space="0"/>
            </w:tcBorders>
            <w:vAlign w:val="center"/>
          </w:tcPr>
          <w:p w14:paraId="34136D0A">
            <w:pPr>
              <w:spacing w:line="360" w:lineRule="auto"/>
              <w:ind w:firstLine="420"/>
              <w:jc w:val="both"/>
              <w:rPr>
                <w:rFonts w:hint="eastAsia"/>
                <w:sz w:val="24"/>
                <w:szCs w:val="24"/>
              </w:rPr>
            </w:pPr>
          </w:p>
        </w:tc>
        <w:tc>
          <w:tcPr>
            <w:tcW w:w="1813" w:type="dxa"/>
            <w:tcBorders>
              <w:top w:val="single" w:color="auto" w:sz="4" w:space="0"/>
              <w:bottom w:val="single" w:color="auto" w:sz="4" w:space="0"/>
              <w:right w:val="single" w:color="auto" w:sz="4" w:space="0"/>
            </w:tcBorders>
            <w:vAlign w:val="center"/>
          </w:tcPr>
          <w:p w14:paraId="684ADCF7">
            <w:pPr>
              <w:spacing w:line="360" w:lineRule="auto"/>
              <w:ind w:firstLine="420"/>
              <w:jc w:val="both"/>
              <w:rPr>
                <w:rFonts w:hint="eastAsia"/>
                <w:sz w:val="24"/>
                <w:szCs w:val="24"/>
              </w:rPr>
            </w:pPr>
            <w:r>
              <w:rPr>
                <w:rFonts w:hint="eastAsia"/>
                <w:sz w:val="24"/>
                <w:szCs w:val="24"/>
              </w:rPr>
              <w:t>三等奖</w:t>
            </w:r>
          </w:p>
        </w:tc>
        <w:tc>
          <w:tcPr>
            <w:tcW w:w="3052" w:type="dxa"/>
            <w:tcBorders>
              <w:top w:val="single" w:color="auto" w:sz="4" w:space="0"/>
              <w:bottom w:val="single" w:color="auto" w:sz="4" w:space="0"/>
              <w:right w:val="single" w:color="auto" w:sz="4" w:space="0"/>
            </w:tcBorders>
            <w:vAlign w:val="center"/>
          </w:tcPr>
          <w:p w14:paraId="1B0BE2BF">
            <w:pPr>
              <w:spacing w:line="360" w:lineRule="auto"/>
              <w:jc w:val="center"/>
              <w:rPr>
                <w:rFonts w:hint="eastAsia"/>
                <w:sz w:val="24"/>
                <w:szCs w:val="24"/>
              </w:rPr>
            </w:pPr>
            <w:r>
              <w:rPr>
                <w:rFonts w:hint="eastAsia"/>
                <w:sz w:val="24"/>
                <w:szCs w:val="24"/>
              </w:rPr>
              <w:t>6000</w:t>
            </w:r>
          </w:p>
        </w:tc>
        <w:tc>
          <w:tcPr>
            <w:tcW w:w="1722" w:type="dxa"/>
            <w:tcBorders>
              <w:top w:val="single" w:color="auto" w:sz="4" w:space="0"/>
              <w:bottom w:val="single" w:color="auto" w:sz="4" w:space="0"/>
              <w:right w:val="single" w:color="auto" w:sz="4" w:space="0"/>
            </w:tcBorders>
            <w:vAlign w:val="center"/>
          </w:tcPr>
          <w:p w14:paraId="32068C42">
            <w:pPr>
              <w:spacing w:line="360" w:lineRule="auto"/>
              <w:ind w:firstLine="420"/>
              <w:jc w:val="both"/>
              <w:rPr>
                <w:rFonts w:hint="eastAsia"/>
                <w:sz w:val="24"/>
                <w:szCs w:val="24"/>
              </w:rPr>
            </w:pPr>
            <w:r>
              <w:rPr>
                <w:rFonts w:hint="eastAsia"/>
                <w:sz w:val="24"/>
                <w:szCs w:val="24"/>
              </w:rPr>
              <w:t>≥50%</w:t>
            </w:r>
          </w:p>
        </w:tc>
      </w:tr>
    </w:tbl>
    <w:p w14:paraId="62617F94">
      <w:pPr>
        <w:spacing w:line="360" w:lineRule="auto"/>
        <w:jc w:val="both"/>
        <w:rPr>
          <w:rFonts w:hint="eastAsia"/>
          <w:sz w:val="24"/>
          <w:szCs w:val="24"/>
          <w:lang w:val="en-US"/>
        </w:rPr>
      </w:pPr>
    </w:p>
    <w:p w14:paraId="516848E0">
      <w:pPr>
        <w:spacing w:line="360" w:lineRule="auto"/>
        <w:ind w:firstLine="480" w:firstLineChars="200"/>
        <w:jc w:val="both"/>
        <w:rPr>
          <w:rFonts w:hint="eastAsia"/>
          <w:sz w:val="24"/>
          <w:szCs w:val="24"/>
        </w:rPr>
      </w:pPr>
      <w:r>
        <w:rPr>
          <w:rStyle w:val="16"/>
          <w:rFonts w:hint="eastAsia" w:ascii="黑体" w:hAnsi="黑体" w:eastAsia="黑体"/>
          <w:b w:val="0"/>
          <w:bCs w:val="0"/>
          <w:sz w:val="24"/>
          <w:szCs w:val="24"/>
          <w:lang w:val="en-US"/>
        </w:rPr>
        <w:t>第八条</w:t>
      </w:r>
      <w:r>
        <w:rPr>
          <w:rFonts w:hint="eastAsia"/>
          <w:sz w:val="24"/>
          <w:szCs w:val="24"/>
          <w:lang w:val="en-US"/>
        </w:rPr>
        <w:t xml:space="preserve"> 硕士生学业奖学金</w:t>
      </w:r>
      <w:r>
        <w:rPr>
          <w:rFonts w:hint="eastAsia"/>
          <w:sz w:val="24"/>
          <w:szCs w:val="24"/>
        </w:rPr>
        <w:t>各等级评定</w:t>
      </w:r>
      <w:r>
        <w:rPr>
          <w:rFonts w:hint="eastAsia"/>
          <w:sz w:val="24"/>
          <w:szCs w:val="24"/>
          <w:lang w:val="en-US"/>
        </w:rPr>
        <w:t>排序</w:t>
      </w:r>
      <w:r>
        <w:rPr>
          <w:rFonts w:hint="eastAsia"/>
          <w:sz w:val="24"/>
          <w:szCs w:val="24"/>
        </w:rPr>
        <w:t>：</w:t>
      </w:r>
    </w:p>
    <w:p w14:paraId="28C099BC">
      <w:pPr>
        <w:spacing w:line="360" w:lineRule="auto"/>
        <w:ind w:firstLine="480" w:firstLineChars="200"/>
        <w:jc w:val="both"/>
        <w:rPr>
          <w:rFonts w:hint="eastAsia"/>
          <w:sz w:val="24"/>
          <w:szCs w:val="24"/>
          <w:lang w:val="en-US"/>
        </w:rPr>
      </w:pPr>
      <w:r>
        <w:rPr>
          <w:rFonts w:hint="eastAsia"/>
          <w:sz w:val="24"/>
          <w:szCs w:val="24"/>
          <w:lang w:val="en-US"/>
        </w:rPr>
        <w:t>按以下规则进行排序：</w:t>
      </w:r>
    </w:p>
    <w:p w14:paraId="7FD68B66">
      <w:pPr>
        <w:spacing w:line="360" w:lineRule="auto"/>
        <w:ind w:firstLine="480" w:firstLineChars="200"/>
        <w:jc w:val="both"/>
        <w:rPr>
          <w:rFonts w:hint="eastAsia"/>
          <w:sz w:val="24"/>
          <w:szCs w:val="24"/>
          <w:lang w:val="en-US"/>
        </w:rPr>
      </w:pPr>
      <w:r>
        <w:rPr>
          <w:rFonts w:hint="eastAsia"/>
          <w:sz w:val="24"/>
          <w:szCs w:val="24"/>
          <w:lang w:val="en-US"/>
        </w:rPr>
        <w:t>1.全国推荐免试录取至浙江工业大学计算机科学与技术学院的综合成绩排序；</w:t>
      </w:r>
    </w:p>
    <w:p w14:paraId="64AEBA8B">
      <w:pPr>
        <w:spacing w:line="360" w:lineRule="auto"/>
        <w:ind w:firstLine="480" w:firstLineChars="200"/>
        <w:jc w:val="both"/>
        <w:rPr>
          <w:rFonts w:hint="eastAsia"/>
          <w:sz w:val="24"/>
          <w:szCs w:val="24"/>
          <w:lang w:val="en-US"/>
        </w:rPr>
      </w:pPr>
      <w:r>
        <w:rPr>
          <w:rFonts w:hint="eastAsia"/>
          <w:sz w:val="24"/>
          <w:szCs w:val="24"/>
          <w:lang w:val="en-US"/>
        </w:rPr>
        <w:t>2.全国硕士研究生招生考试以第一志愿报考并录取至浙江工业大学计算机科学与技术学院相关专业的综合成绩排序（以学校研究生院提供成绩为准）；</w:t>
      </w:r>
    </w:p>
    <w:p w14:paraId="1E375551">
      <w:pPr>
        <w:spacing w:line="360" w:lineRule="auto"/>
        <w:ind w:firstLine="480" w:firstLineChars="200"/>
        <w:jc w:val="both"/>
        <w:rPr>
          <w:rFonts w:hint="eastAsia"/>
          <w:sz w:val="24"/>
          <w:szCs w:val="24"/>
        </w:rPr>
      </w:pPr>
      <w:r>
        <w:rPr>
          <w:rFonts w:hint="eastAsia"/>
          <w:sz w:val="24"/>
          <w:szCs w:val="24"/>
          <w:lang w:val="en-US"/>
        </w:rPr>
        <w:t>3.全国硕士研究生招生考试以非第一志愿报考并录取至计算机科学与技术学院相关专业的综合成绩排序（以学校研究生院提供成绩为准）。</w:t>
      </w:r>
    </w:p>
    <w:p w14:paraId="4BD0D0B4">
      <w:pPr>
        <w:pStyle w:val="2"/>
        <w:spacing w:before="120" w:after="120" w:line="240" w:lineRule="auto"/>
        <w:jc w:val="center"/>
        <w:rPr>
          <w:rFonts w:hint="eastAsia" w:ascii="黑体" w:hAnsi="黑体" w:eastAsia="黑体"/>
          <w:b w:val="0"/>
          <w:bCs w:val="0"/>
          <w:sz w:val="28"/>
          <w:szCs w:val="28"/>
        </w:rPr>
      </w:pPr>
      <w:r>
        <w:rPr>
          <w:rFonts w:hint="eastAsia" w:ascii="黑体" w:hAnsi="黑体" w:eastAsia="黑体"/>
          <w:b w:val="0"/>
          <w:bCs w:val="0"/>
          <w:sz w:val="28"/>
          <w:szCs w:val="28"/>
        </w:rPr>
        <w:t xml:space="preserve">第四章 </w:t>
      </w:r>
      <w:r>
        <w:rPr>
          <w:rFonts w:hint="eastAsia" w:ascii="黑体" w:hAnsi="黑体" w:eastAsia="黑体"/>
          <w:b w:val="0"/>
          <w:bCs w:val="0"/>
          <w:sz w:val="28"/>
          <w:szCs w:val="28"/>
          <w:lang w:val="en-US"/>
        </w:rPr>
        <w:t>附则</w:t>
      </w:r>
    </w:p>
    <w:p w14:paraId="24E35FC9">
      <w:pPr>
        <w:spacing w:line="360" w:lineRule="auto"/>
        <w:ind w:firstLine="420"/>
        <w:jc w:val="both"/>
        <w:rPr>
          <w:rFonts w:hint="eastAsia"/>
          <w:sz w:val="24"/>
          <w:szCs w:val="24"/>
        </w:rPr>
      </w:pPr>
      <w:r>
        <w:rPr>
          <w:rFonts w:hint="eastAsia" w:ascii="黑体" w:hAnsi="黑体" w:eastAsia="黑体"/>
          <w:sz w:val="24"/>
          <w:szCs w:val="24"/>
        </w:rPr>
        <w:t>第</w:t>
      </w:r>
      <w:r>
        <w:rPr>
          <w:rFonts w:hint="eastAsia" w:ascii="黑体" w:hAnsi="黑体" w:eastAsia="黑体"/>
          <w:sz w:val="24"/>
          <w:szCs w:val="24"/>
          <w:lang w:val="en-US"/>
        </w:rPr>
        <w:t>九</w:t>
      </w:r>
      <w:r>
        <w:rPr>
          <w:rFonts w:hint="eastAsia" w:ascii="黑体" w:hAnsi="黑体" w:eastAsia="黑体"/>
          <w:sz w:val="24"/>
          <w:szCs w:val="24"/>
        </w:rPr>
        <w:t>条</w:t>
      </w:r>
      <w:r>
        <w:rPr>
          <w:sz w:val="24"/>
          <w:szCs w:val="24"/>
        </w:rPr>
        <w:t xml:space="preserve"> 仍在受处分期的个人取消奖学金评定资格。</w:t>
      </w:r>
    </w:p>
    <w:p w14:paraId="41DE660E">
      <w:pPr>
        <w:spacing w:line="360" w:lineRule="auto"/>
        <w:ind w:firstLine="420"/>
        <w:jc w:val="both"/>
        <w:rPr>
          <w:rFonts w:hint="eastAsia"/>
          <w:sz w:val="24"/>
          <w:szCs w:val="24"/>
        </w:rPr>
      </w:pPr>
      <w:r>
        <w:rPr>
          <w:rFonts w:hint="eastAsia" w:ascii="黑体" w:hAnsi="黑体" w:eastAsia="黑体"/>
          <w:sz w:val="24"/>
          <w:szCs w:val="24"/>
        </w:rPr>
        <w:t>第</w:t>
      </w:r>
      <w:r>
        <w:rPr>
          <w:rFonts w:hint="eastAsia" w:ascii="黑体" w:hAnsi="黑体" w:eastAsia="黑体"/>
          <w:sz w:val="24"/>
          <w:szCs w:val="24"/>
          <w:lang w:val="en-US"/>
        </w:rPr>
        <w:t>十</w:t>
      </w:r>
      <w:r>
        <w:rPr>
          <w:rFonts w:hint="eastAsia" w:ascii="黑体" w:hAnsi="黑体" w:eastAsia="黑体"/>
          <w:sz w:val="24"/>
          <w:szCs w:val="24"/>
        </w:rPr>
        <w:t>条</w:t>
      </w:r>
      <w:r>
        <w:rPr>
          <w:sz w:val="24"/>
          <w:szCs w:val="24"/>
        </w:rPr>
        <w:t xml:space="preserve"> 本办法自</w:t>
      </w:r>
      <w:r>
        <w:rPr>
          <w:rFonts w:hint="eastAsia"/>
          <w:sz w:val="24"/>
          <w:szCs w:val="24"/>
          <w:lang w:val="en-US"/>
        </w:rPr>
        <w:t>发文</w:t>
      </w:r>
      <w:r>
        <w:rPr>
          <w:sz w:val="24"/>
          <w:szCs w:val="24"/>
        </w:rPr>
        <w:t>之日起执行。</w:t>
      </w:r>
      <w:r>
        <w:rPr>
          <w:rFonts w:hint="eastAsia"/>
          <w:sz w:val="24"/>
          <w:szCs w:val="24"/>
          <w:lang w:val="en-US"/>
        </w:rPr>
        <w:t>由</w:t>
      </w:r>
      <w:r>
        <w:rPr>
          <w:sz w:val="24"/>
          <w:szCs w:val="24"/>
        </w:rPr>
        <w:t>浙江工业大学</w:t>
      </w:r>
      <w:r>
        <w:rPr>
          <w:rFonts w:hint="eastAsia"/>
          <w:sz w:val="24"/>
          <w:szCs w:val="24"/>
          <w:lang w:val="en-US"/>
        </w:rPr>
        <w:t>计算机科学与技术学院负责解释</w:t>
      </w:r>
      <w:r>
        <w:rPr>
          <w:sz w:val="24"/>
          <w:szCs w:val="24"/>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9391A">
    <w:pPr>
      <w:pStyle w:val="7"/>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E5EB2">
                          <w:pPr>
                            <w:pStyle w:val="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7E5EB2">
                    <w:pPr>
                      <w:pStyle w:val="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3ZjgzNjEwY2QzOWMxZTI4MDkxMzMwMWEyNTRkYzEifQ=="/>
  </w:docVars>
  <w:rsids>
    <w:rsidRoot w:val="00CB7421"/>
    <w:rsid w:val="000127D7"/>
    <w:rsid w:val="000A3CDF"/>
    <w:rsid w:val="001D45CF"/>
    <w:rsid w:val="003C27AC"/>
    <w:rsid w:val="00403B35"/>
    <w:rsid w:val="004C19D7"/>
    <w:rsid w:val="00584D99"/>
    <w:rsid w:val="006066B1"/>
    <w:rsid w:val="00650F70"/>
    <w:rsid w:val="006975D2"/>
    <w:rsid w:val="006B31AC"/>
    <w:rsid w:val="007103DF"/>
    <w:rsid w:val="007576E0"/>
    <w:rsid w:val="007D5374"/>
    <w:rsid w:val="00850901"/>
    <w:rsid w:val="008D61BA"/>
    <w:rsid w:val="00A07154"/>
    <w:rsid w:val="00A85A9B"/>
    <w:rsid w:val="00A93B72"/>
    <w:rsid w:val="00AE68A3"/>
    <w:rsid w:val="00B60E22"/>
    <w:rsid w:val="00BC277A"/>
    <w:rsid w:val="00BE0A06"/>
    <w:rsid w:val="00C13026"/>
    <w:rsid w:val="00C87DEF"/>
    <w:rsid w:val="00CB7421"/>
    <w:rsid w:val="00E7641D"/>
    <w:rsid w:val="00F35552"/>
    <w:rsid w:val="00F43B8D"/>
    <w:rsid w:val="00F55FD0"/>
    <w:rsid w:val="00F772AA"/>
    <w:rsid w:val="03FD05D6"/>
    <w:rsid w:val="057448C8"/>
    <w:rsid w:val="0DCA23FB"/>
    <w:rsid w:val="10165F74"/>
    <w:rsid w:val="232E2587"/>
    <w:rsid w:val="2671554C"/>
    <w:rsid w:val="28341F69"/>
    <w:rsid w:val="2A6B02A8"/>
    <w:rsid w:val="2DDE41C9"/>
    <w:rsid w:val="40062BCD"/>
    <w:rsid w:val="404C551E"/>
    <w:rsid w:val="44010DF3"/>
    <w:rsid w:val="45261F43"/>
    <w:rsid w:val="4851401A"/>
    <w:rsid w:val="521560B8"/>
    <w:rsid w:val="547D3D2A"/>
    <w:rsid w:val="583B7EFB"/>
    <w:rsid w:val="59CA325B"/>
    <w:rsid w:val="61EC0913"/>
    <w:rsid w:val="66314261"/>
    <w:rsid w:val="665C023B"/>
    <w:rsid w:val="68171949"/>
    <w:rsid w:val="6AA0444F"/>
    <w:rsid w:val="70E37655"/>
    <w:rsid w:val="71ED5DBE"/>
    <w:rsid w:val="76CF3DE5"/>
    <w:rsid w:val="7B617FF9"/>
    <w:rsid w:val="7F4D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1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4"/>
    <w:qFormat/>
    <w:uiPriority w:val="1"/>
    <w:pPr>
      <w:spacing w:before="160"/>
    </w:pPr>
    <w:rPr>
      <w:sz w:val="24"/>
      <w:szCs w:val="24"/>
    </w:rPr>
  </w:style>
  <w:style w:type="paragraph" w:styleId="7">
    <w:name w:val="footer"/>
    <w:basedOn w:val="1"/>
    <w:link w:val="13"/>
    <w:unhideWhenUsed/>
    <w:qFormat/>
    <w:uiPriority w:val="99"/>
    <w:pPr>
      <w:tabs>
        <w:tab w:val="center" w:pos="4153"/>
        <w:tab w:val="right" w:pos="8306"/>
      </w:tabs>
      <w:snapToGrid w:val="0"/>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pPr>
      <w:widowControl w:val="0"/>
      <w:autoSpaceDE w:val="0"/>
      <w:autoSpaceDN w:val="0"/>
    </w:pPr>
    <w:rPr>
      <w:sz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99"/>
    <w:rPr>
      <w:sz w:val="18"/>
      <w:szCs w:val="18"/>
    </w:rPr>
  </w:style>
  <w:style w:type="character" w:customStyle="1" w:styleId="13">
    <w:name w:val="页脚 字符"/>
    <w:basedOn w:val="11"/>
    <w:link w:val="7"/>
    <w:qFormat/>
    <w:uiPriority w:val="99"/>
    <w:rPr>
      <w:sz w:val="18"/>
      <w:szCs w:val="18"/>
    </w:rPr>
  </w:style>
  <w:style w:type="character" w:customStyle="1" w:styleId="14">
    <w:name w:val="正文文本 字符"/>
    <w:basedOn w:val="11"/>
    <w:link w:val="6"/>
    <w:qFormat/>
    <w:uiPriority w:val="1"/>
    <w:rPr>
      <w:rFonts w:ascii="宋体" w:hAnsi="宋体" w:eastAsia="宋体" w:cs="宋体"/>
      <w:kern w:val="0"/>
      <w:sz w:val="24"/>
      <w:szCs w:val="24"/>
      <w:lang w:val="zh-CN" w:bidi="zh-CN"/>
    </w:rPr>
  </w:style>
  <w:style w:type="character" w:customStyle="1" w:styleId="15">
    <w:name w:val="标题 1 字符"/>
    <w:basedOn w:val="11"/>
    <w:link w:val="2"/>
    <w:qFormat/>
    <w:uiPriority w:val="9"/>
    <w:rPr>
      <w:rFonts w:ascii="宋体" w:hAnsi="宋体" w:eastAsia="宋体" w:cs="宋体"/>
      <w:b/>
      <w:bCs/>
      <w:kern w:val="44"/>
      <w:sz w:val="44"/>
      <w:szCs w:val="44"/>
      <w:lang w:val="zh-CN" w:bidi="zh-CN"/>
    </w:rPr>
  </w:style>
  <w:style w:type="character" w:customStyle="1" w:styleId="16">
    <w:name w:val="标题 2 字符"/>
    <w:basedOn w:val="11"/>
    <w:link w:val="3"/>
    <w:qFormat/>
    <w:uiPriority w:val="9"/>
    <w:rPr>
      <w:rFonts w:asciiTheme="majorHAnsi" w:hAnsiTheme="majorHAnsi" w:eastAsiaTheme="majorEastAsia" w:cstheme="majorBidi"/>
      <w:b/>
      <w:bCs/>
      <w:kern w:val="0"/>
      <w:sz w:val="32"/>
      <w:szCs w:val="32"/>
      <w:lang w:val="zh-CN" w:bidi="zh-CN"/>
    </w:rPr>
  </w:style>
  <w:style w:type="paragraph" w:styleId="17">
    <w:name w:val="List Paragraph"/>
    <w:basedOn w:val="1"/>
    <w:qFormat/>
    <w:uiPriority w:val="34"/>
    <w:pPr>
      <w:ind w:firstLine="420" w:firstLineChars="200"/>
    </w:pPr>
  </w:style>
  <w:style w:type="character" w:customStyle="1" w:styleId="18">
    <w:name w:val="标题 3 字符"/>
    <w:basedOn w:val="11"/>
    <w:link w:val="4"/>
    <w:qFormat/>
    <w:uiPriority w:val="9"/>
    <w:rPr>
      <w:rFonts w:ascii="宋体" w:hAnsi="宋体" w:eastAsia="宋体" w:cs="宋体"/>
      <w:b/>
      <w:bCs/>
      <w:kern w:val="0"/>
      <w:sz w:val="32"/>
      <w:szCs w:val="32"/>
      <w:lang w:val="zh-CN" w:bidi="zh-CN"/>
    </w:rPr>
  </w:style>
  <w:style w:type="character" w:customStyle="1" w:styleId="19">
    <w:name w:val="标题 4 字符"/>
    <w:basedOn w:val="11"/>
    <w:link w:val="5"/>
    <w:qFormat/>
    <w:uiPriority w:val="9"/>
    <w:rPr>
      <w:rFonts w:asciiTheme="majorHAnsi" w:hAnsiTheme="majorHAnsi" w:eastAsiaTheme="majorEastAsia" w:cstheme="majorBidi"/>
      <w:b/>
      <w:bCs/>
      <w:kern w:val="0"/>
      <w:sz w:val="28"/>
      <w:szCs w:val="28"/>
      <w:lang w:val="zh-CN" w:bidi="zh-CN"/>
    </w:rPr>
  </w:style>
  <w:style w:type="table" w:customStyle="1" w:styleId="20">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21">
    <w:name w:val="Table Paragraph"/>
    <w:basedOn w:val="1"/>
    <w:qFormat/>
    <w:uiPriority w:val="1"/>
    <w:pPr>
      <w:spacing w:before="81"/>
      <w:jc w:val="center"/>
    </w:pPr>
  </w:style>
  <w:style w:type="character" w:styleId="22">
    <w:name w:val="Placeholder Text"/>
    <w:basedOn w:val="11"/>
    <w:semiHidden/>
    <w:qFormat/>
    <w:uiPriority w:val="99"/>
    <w:rPr>
      <w:color w:val="80808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917</Words>
  <Characters>953</Characters>
  <Lines>37</Lines>
  <Paragraphs>51</Paragraphs>
  <TotalTime>1</TotalTime>
  <ScaleCrop>false</ScaleCrop>
  <LinksUpToDate>false</LinksUpToDate>
  <CharactersWithSpaces>970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2026-01-16T15:19:00Z</dcterms:created>
  <dc:creator>姜 钦凯</dc:creator>
  <cp:lastModifiedBy>紫薇秀雅</cp:lastModifiedBy>
  <cp:lastPrinted>2026-01-15T00:56:00Z</cp:lastPrinted>
  <dcterms:modified xsi:type="dcterms:W3CDTF">2026-10-15T01:35:58Z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6266727CB1B94F999D66848E51AF2A32_13</vt:lpwstr>
  </property>
  <property fmtid="{D5CDD505-2E9C-101B-9397-08002B2CF9AE}" pid="4" name="KSOTemplateDocerSaveRecord">
    <vt:lpwstr>eyJoZGlkIjoiMzg1ZWVhYjllZWZlZDIzZjczYjg0MzNhMzhlOGFmMjQiLCJ1c2VySWQiOiIxOTA4OTMyNzIifQ==</vt:lpwstr>
  </property>
</Properties>
</file>