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楷体" w:hAnsi="楷体" w:eastAsia="楷体"/>
          <w:b/>
          <w:bCs/>
          <w:sz w:val="44"/>
          <w:szCs w:val="36"/>
        </w:rPr>
      </w:pPr>
      <w:r>
        <w:rPr>
          <w:rFonts w:hint="eastAsia" w:ascii="楷体" w:hAnsi="楷体" w:eastAsia="楷体"/>
          <w:b/>
          <w:bCs/>
          <w:sz w:val="44"/>
          <w:szCs w:val="36"/>
        </w:rPr>
        <w:t>计算机学院政审规范</w:t>
      </w:r>
    </w:p>
    <w:p>
      <w:pPr>
        <w:jc w:val="left"/>
        <w:rPr>
          <w:rFonts w:ascii="宋体" w:hAnsi="宋体" w:eastAsia="宋体"/>
          <w:b/>
          <w:bCs/>
          <w:sz w:val="24"/>
          <w:szCs w:val="24"/>
        </w:rPr>
      </w:pPr>
    </w:p>
    <w:p>
      <w:pPr>
        <w:numPr>
          <w:ilvl w:val="0"/>
          <w:numId w:val="1"/>
        </w:numPr>
        <w:spacing w:line="360" w:lineRule="auto"/>
        <w:rPr>
          <w:rFonts w:hint="eastAsia" w:ascii="宋体" w:hAnsi="宋体" w:eastAsia="宋体"/>
          <w:color w:val="0000FF"/>
          <w:sz w:val="24"/>
          <w:szCs w:val="24"/>
          <w:lang w:val="en-US" w:eastAsia="zh-CN"/>
        </w:rPr>
      </w:pPr>
      <w:r>
        <w:rPr>
          <w:rFonts w:hint="eastAsia" w:ascii="宋体" w:hAnsi="宋体" w:eastAsia="宋体"/>
          <w:b/>
          <w:bCs/>
          <w:sz w:val="24"/>
          <w:szCs w:val="24"/>
        </w:rPr>
        <w:t>确定</w:t>
      </w:r>
      <w:r>
        <w:rPr>
          <w:rFonts w:hint="eastAsia" w:ascii="宋体" w:hAnsi="宋体" w:eastAsia="宋体"/>
          <w:b/>
          <w:bCs/>
          <w:sz w:val="24"/>
          <w:szCs w:val="24"/>
          <w:lang w:val="en-US" w:eastAsia="zh-CN"/>
        </w:rPr>
        <w:t>函调对象和</w:t>
      </w:r>
      <w:r>
        <w:rPr>
          <w:rFonts w:hint="eastAsia" w:ascii="宋体" w:hAnsi="宋体" w:eastAsia="宋体"/>
          <w:b/>
          <w:bCs/>
          <w:sz w:val="24"/>
          <w:szCs w:val="24"/>
        </w:rPr>
        <w:t>函调单位。</w:t>
      </w:r>
      <w:r>
        <w:rPr>
          <w:rFonts w:hint="eastAsia" w:ascii="宋体" w:hAnsi="宋体" w:eastAsia="宋体"/>
          <w:sz w:val="24"/>
          <w:szCs w:val="24"/>
        </w:rPr>
        <w:t>一般向发展对象</w:t>
      </w:r>
      <w:r>
        <w:rPr>
          <w:rFonts w:hint="eastAsia" w:ascii="宋体" w:hAnsi="宋体" w:eastAsia="宋体"/>
          <w:sz w:val="24"/>
          <w:szCs w:val="24"/>
          <w:lang w:val="en-US" w:eastAsia="zh-CN"/>
        </w:rPr>
        <w:t>的直系亲属</w:t>
      </w:r>
      <w:r>
        <w:rPr>
          <w:rFonts w:hint="eastAsia" w:ascii="宋体" w:hAnsi="宋体" w:eastAsia="宋体"/>
          <w:color w:val="0000FF"/>
          <w:sz w:val="24"/>
          <w:szCs w:val="24"/>
          <w:lang w:val="en-US" w:eastAsia="zh-CN"/>
        </w:rPr>
        <w:t>（指父母、配偶、子女，自幼抚养其长大的养父母和其抚养的养子女）</w:t>
      </w:r>
      <w:r>
        <w:rPr>
          <w:rFonts w:hint="eastAsia" w:ascii="宋体" w:hAnsi="宋体" w:eastAsia="宋体"/>
          <w:sz w:val="24"/>
          <w:szCs w:val="24"/>
          <w:lang w:val="en-US" w:eastAsia="zh-CN"/>
        </w:rPr>
        <w:t>和与其关系密切的主要社会关系</w:t>
      </w:r>
      <w:r>
        <w:rPr>
          <w:rFonts w:hint="eastAsia" w:ascii="宋体" w:hAnsi="宋体" w:eastAsia="宋体"/>
          <w:color w:val="0000FF"/>
          <w:sz w:val="24"/>
          <w:szCs w:val="24"/>
          <w:lang w:val="en-US" w:eastAsia="zh-CN"/>
        </w:rPr>
        <w:t>（政治上、思想上、生活上与其有密切联系的旁系亲属，如亲兄弟姐妹、岳父母、公婆、叔伯姑舅姨等，以及与发展对象关系密切的朋友、同事等）</w:t>
      </w:r>
      <w:r>
        <w:rPr>
          <w:rFonts w:hint="eastAsia" w:ascii="宋体" w:hAnsi="宋体" w:eastAsia="宋体"/>
          <w:sz w:val="24"/>
          <w:szCs w:val="24"/>
          <w:lang w:val="en-US" w:eastAsia="zh-CN"/>
        </w:rPr>
        <w:t>的</w:t>
      </w:r>
      <w:r>
        <w:rPr>
          <w:rFonts w:hint="eastAsia" w:ascii="宋体" w:hAnsi="宋体" w:eastAsia="宋体"/>
          <w:sz w:val="24"/>
          <w:szCs w:val="24"/>
        </w:rPr>
        <w:t>居住地/户口所在地（老家）的村委会、居委会的党组织</w:t>
      </w:r>
      <w:r>
        <w:rPr>
          <w:rFonts w:hint="eastAsia" w:ascii="宋体" w:hAnsi="宋体" w:eastAsia="宋体"/>
          <w:sz w:val="24"/>
          <w:szCs w:val="24"/>
          <w:lang w:eastAsia="zh-CN"/>
        </w:rPr>
        <w:t>、</w:t>
      </w:r>
      <w:r>
        <w:rPr>
          <w:rFonts w:hint="eastAsia" w:ascii="宋体" w:hAnsi="宋体" w:eastAsia="宋体"/>
          <w:sz w:val="24"/>
          <w:szCs w:val="24"/>
          <w:lang w:val="en-US" w:eastAsia="zh-CN"/>
        </w:rPr>
        <w:t>或</w:t>
      </w:r>
      <w:r>
        <w:rPr>
          <w:rFonts w:hint="eastAsia" w:ascii="宋体" w:hAnsi="宋体" w:eastAsia="宋体"/>
          <w:sz w:val="24"/>
          <w:szCs w:val="24"/>
        </w:rPr>
        <w:t>工作单位（请先确认工作单位是否有党组织）进行函调。函调前请先确认外调单位可以配合进行函调后再发函。</w:t>
      </w:r>
      <w:r>
        <w:rPr>
          <w:rFonts w:hint="eastAsia" w:ascii="宋体" w:hAnsi="宋体" w:eastAsia="宋体"/>
          <w:color w:val="0000FF"/>
          <w:sz w:val="24"/>
          <w:szCs w:val="24"/>
          <w:lang w:val="en-US" w:eastAsia="zh-CN"/>
        </w:rPr>
        <w:t>同本人联系没有或很少联系的亲属或主要社会关系，可不列入政治审查的范围。研究生需要政审本科在校时表现。</w:t>
      </w:r>
    </w:p>
    <w:p>
      <w:pPr>
        <w:spacing w:line="380" w:lineRule="exact"/>
        <w:jc w:val="center"/>
        <w:rPr>
          <w:rFonts w:hint="eastAsia" w:ascii="黑体" w:hAnsi="黑体" w:eastAsia="黑体" w:cs="黑体"/>
          <w:b/>
          <w:sz w:val="30"/>
          <w:szCs w:val="30"/>
        </w:rPr>
      </w:pPr>
    </w:p>
    <w:p>
      <w:pPr>
        <w:spacing w:line="380" w:lineRule="exact"/>
        <w:jc w:val="center"/>
        <w:rPr>
          <w:rFonts w:ascii="黑体" w:hAnsi="黑体" w:eastAsia="黑体" w:cs="黑体"/>
          <w:b/>
          <w:sz w:val="30"/>
          <w:szCs w:val="30"/>
        </w:rPr>
      </w:pPr>
      <w:r>
        <w:rPr>
          <w:rFonts w:hint="eastAsia" w:ascii="黑体" w:hAnsi="黑体" w:eastAsia="黑体" w:cs="黑体"/>
          <w:b/>
          <w:sz w:val="30"/>
          <w:szCs w:val="30"/>
        </w:rPr>
        <w:t>需政治审查发展对象直系亲属和主要社会人员情况</w:t>
      </w:r>
    </w:p>
    <w:p>
      <w:pPr>
        <w:spacing w:line="380" w:lineRule="exact"/>
        <w:jc w:val="center"/>
        <w:rPr>
          <w:bCs/>
          <w:sz w:val="22"/>
        </w:rPr>
      </w:pPr>
    </w:p>
    <w:tbl>
      <w:tblPr>
        <w:tblStyle w:val="4"/>
        <w:tblW w:w="5315"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59"/>
        <w:gridCol w:w="1417"/>
        <w:gridCol w:w="743"/>
        <w:gridCol w:w="2081"/>
        <w:gridCol w:w="790"/>
        <w:gridCol w:w="721"/>
        <w:gridCol w:w="1668"/>
        <w:gridCol w:w="8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3" w:hRule="atLeast"/>
          <w:jc w:val="center"/>
        </w:trPr>
        <w:tc>
          <w:tcPr>
            <w:tcW w:w="419" w:type="pct"/>
            <w:vAlign w:val="center"/>
          </w:tcPr>
          <w:p>
            <w:pPr>
              <w:jc w:val="center"/>
              <w:rPr>
                <w:rFonts w:ascii="黑体" w:hAnsi="黑体" w:eastAsia="黑体"/>
                <w:bCs/>
                <w:szCs w:val="21"/>
              </w:rPr>
            </w:pPr>
            <w:r>
              <w:rPr>
                <w:rFonts w:hint="eastAsia" w:ascii="黑体" w:hAnsi="黑体" w:eastAsia="黑体"/>
                <w:bCs/>
                <w:szCs w:val="21"/>
              </w:rPr>
              <w:t>发展对象姓名</w:t>
            </w:r>
          </w:p>
        </w:tc>
        <w:tc>
          <w:tcPr>
            <w:tcW w:w="782" w:type="pct"/>
            <w:vAlign w:val="center"/>
          </w:tcPr>
          <w:p>
            <w:pPr>
              <w:jc w:val="center"/>
              <w:rPr>
                <w:rFonts w:ascii="黑体" w:hAnsi="黑体" w:eastAsia="黑体"/>
                <w:bCs/>
                <w:szCs w:val="21"/>
              </w:rPr>
            </w:pPr>
            <w:r>
              <w:rPr>
                <w:rFonts w:hint="eastAsia" w:ascii="黑体" w:hAnsi="黑体" w:eastAsia="黑体"/>
                <w:bCs/>
                <w:szCs w:val="21"/>
              </w:rPr>
              <w:t>发展对象直系亲属和主要社会人员姓名</w:t>
            </w:r>
          </w:p>
        </w:tc>
        <w:tc>
          <w:tcPr>
            <w:tcW w:w="410" w:type="pct"/>
            <w:vAlign w:val="center"/>
          </w:tcPr>
          <w:p>
            <w:pPr>
              <w:jc w:val="center"/>
              <w:rPr>
                <w:rFonts w:ascii="黑体" w:hAnsi="黑体" w:eastAsia="黑体"/>
                <w:bCs/>
                <w:szCs w:val="21"/>
              </w:rPr>
            </w:pPr>
            <w:r>
              <w:rPr>
                <w:rFonts w:hint="eastAsia" w:ascii="黑体" w:hAnsi="黑体" w:eastAsia="黑体"/>
                <w:bCs/>
                <w:szCs w:val="21"/>
              </w:rPr>
              <w:t>关</w:t>
            </w:r>
            <w:r>
              <w:rPr>
                <w:rFonts w:ascii="黑体" w:hAnsi="黑体" w:eastAsia="黑体"/>
                <w:bCs/>
                <w:szCs w:val="21"/>
              </w:rPr>
              <w:t xml:space="preserve">  </w:t>
            </w:r>
            <w:r>
              <w:rPr>
                <w:rFonts w:hint="eastAsia" w:ascii="黑体" w:hAnsi="黑体" w:eastAsia="黑体"/>
                <w:bCs/>
                <w:szCs w:val="21"/>
              </w:rPr>
              <w:t>系</w:t>
            </w:r>
          </w:p>
        </w:tc>
        <w:tc>
          <w:tcPr>
            <w:tcW w:w="1148" w:type="pct"/>
            <w:vAlign w:val="center"/>
          </w:tcPr>
          <w:p>
            <w:pPr>
              <w:jc w:val="center"/>
              <w:rPr>
                <w:rFonts w:ascii="黑体" w:hAnsi="黑体" w:eastAsia="黑体"/>
                <w:bCs/>
                <w:szCs w:val="21"/>
              </w:rPr>
            </w:pPr>
            <w:r>
              <w:rPr>
                <w:rFonts w:hint="eastAsia" w:ascii="黑体" w:hAnsi="黑体" w:eastAsia="黑体"/>
                <w:bCs/>
                <w:szCs w:val="21"/>
              </w:rPr>
              <w:t>所在单位（或社区、村）党组织</w:t>
            </w:r>
          </w:p>
        </w:tc>
        <w:tc>
          <w:tcPr>
            <w:tcW w:w="436" w:type="pct"/>
            <w:vAlign w:val="center"/>
          </w:tcPr>
          <w:p>
            <w:pPr>
              <w:jc w:val="center"/>
              <w:rPr>
                <w:rFonts w:ascii="黑体" w:hAnsi="黑体" w:eastAsia="黑体"/>
                <w:bCs/>
                <w:szCs w:val="21"/>
              </w:rPr>
            </w:pPr>
            <w:r>
              <w:rPr>
                <w:rFonts w:hint="eastAsia" w:ascii="黑体" w:hAnsi="黑体" w:eastAsia="黑体"/>
                <w:bCs/>
                <w:szCs w:val="21"/>
              </w:rPr>
              <w:t>联系人</w:t>
            </w:r>
          </w:p>
        </w:tc>
        <w:tc>
          <w:tcPr>
            <w:tcW w:w="398" w:type="pct"/>
            <w:vAlign w:val="center"/>
          </w:tcPr>
          <w:p>
            <w:pPr>
              <w:jc w:val="center"/>
              <w:rPr>
                <w:rFonts w:ascii="黑体" w:hAnsi="黑体" w:eastAsia="黑体"/>
                <w:bCs/>
                <w:szCs w:val="21"/>
              </w:rPr>
            </w:pPr>
            <w:r>
              <w:rPr>
                <w:rFonts w:hint="eastAsia" w:ascii="黑体" w:hAnsi="黑体" w:eastAsia="黑体"/>
                <w:bCs/>
                <w:szCs w:val="21"/>
              </w:rPr>
              <w:t>联系电话</w:t>
            </w:r>
          </w:p>
        </w:tc>
        <w:tc>
          <w:tcPr>
            <w:tcW w:w="920" w:type="pct"/>
            <w:vAlign w:val="center"/>
          </w:tcPr>
          <w:p>
            <w:pPr>
              <w:jc w:val="center"/>
              <w:rPr>
                <w:rFonts w:ascii="黑体" w:hAnsi="黑体" w:eastAsia="黑体"/>
                <w:bCs/>
                <w:szCs w:val="21"/>
              </w:rPr>
            </w:pPr>
            <w:r>
              <w:rPr>
                <w:rFonts w:hint="eastAsia" w:ascii="黑体" w:hAnsi="黑体" w:eastAsia="黑体"/>
                <w:bCs/>
                <w:szCs w:val="21"/>
              </w:rPr>
              <w:t>通讯地址</w:t>
            </w:r>
          </w:p>
        </w:tc>
        <w:tc>
          <w:tcPr>
            <w:tcW w:w="485" w:type="pct"/>
            <w:vAlign w:val="center"/>
          </w:tcPr>
          <w:p>
            <w:pPr>
              <w:jc w:val="center"/>
              <w:rPr>
                <w:rFonts w:ascii="黑体" w:hAnsi="黑体" w:eastAsia="黑体"/>
                <w:bCs/>
                <w:szCs w:val="21"/>
              </w:rPr>
            </w:pPr>
            <w:r>
              <w:rPr>
                <w:rFonts w:hint="eastAsia" w:ascii="黑体" w:hAnsi="黑体" w:eastAsia="黑体"/>
                <w:bCs/>
                <w:szCs w:val="21"/>
              </w:rPr>
              <w:t>邮</w:t>
            </w:r>
            <w:r>
              <w:rPr>
                <w:rFonts w:ascii="黑体" w:hAnsi="黑体" w:eastAsia="黑体"/>
                <w:bCs/>
                <w:szCs w:val="21"/>
              </w:rPr>
              <w:t xml:space="preserve">  </w:t>
            </w:r>
            <w:r>
              <w:rPr>
                <w:rFonts w:hint="eastAsia" w:ascii="黑体" w:hAnsi="黑体" w:eastAsia="黑体"/>
                <w:bCs/>
                <w:szCs w:val="21"/>
              </w:rPr>
              <w:t>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5" w:hRule="atLeast"/>
          <w:jc w:val="center"/>
        </w:trPr>
        <w:tc>
          <w:tcPr>
            <w:tcW w:w="419" w:type="pct"/>
          </w:tcPr>
          <w:p>
            <w:pPr>
              <w:jc w:val="center"/>
              <w:rPr>
                <w:bCs/>
                <w:szCs w:val="21"/>
              </w:rPr>
            </w:pPr>
          </w:p>
        </w:tc>
        <w:tc>
          <w:tcPr>
            <w:tcW w:w="782" w:type="pct"/>
          </w:tcPr>
          <w:p>
            <w:pPr>
              <w:jc w:val="center"/>
              <w:rPr>
                <w:bCs/>
                <w:szCs w:val="21"/>
              </w:rPr>
            </w:pPr>
          </w:p>
        </w:tc>
        <w:tc>
          <w:tcPr>
            <w:tcW w:w="410" w:type="pct"/>
          </w:tcPr>
          <w:p>
            <w:pPr>
              <w:jc w:val="center"/>
              <w:rPr>
                <w:bCs/>
                <w:szCs w:val="21"/>
              </w:rPr>
            </w:pPr>
          </w:p>
        </w:tc>
        <w:tc>
          <w:tcPr>
            <w:tcW w:w="1148" w:type="pct"/>
          </w:tcPr>
          <w:p>
            <w:pPr>
              <w:jc w:val="center"/>
              <w:rPr>
                <w:bCs/>
                <w:szCs w:val="21"/>
              </w:rPr>
            </w:pPr>
          </w:p>
        </w:tc>
        <w:tc>
          <w:tcPr>
            <w:tcW w:w="436" w:type="pct"/>
          </w:tcPr>
          <w:p>
            <w:pPr>
              <w:jc w:val="center"/>
              <w:rPr>
                <w:bCs/>
                <w:szCs w:val="21"/>
              </w:rPr>
            </w:pPr>
          </w:p>
        </w:tc>
        <w:tc>
          <w:tcPr>
            <w:tcW w:w="398" w:type="pct"/>
          </w:tcPr>
          <w:p>
            <w:pPr>
              <w:jc w:val="center"/>
              <w:rPr>
                <w:bCs/>
                <w:szCs w:val="21"/>
              </w:rPr>
            </w:pPr>
          </w:p>
        </w:tc>
        <w:tc>
          <w:tcPr>
            <w:tcW w:w="920" w:type="pct"/>
          </w:tcPr>
          <w:p>
            <w:pPr>
              <w:jc w:val="center"/>
              <w:rPr>
                <w:bCs/>
                <w:szCs w:val="21"/>
              </w:rPr>
            </w:pPr>
          </w:p>
        </w:tc>
        <w:tc>
          <w:tcPr>
            <w:tcW w:w="485" w:type="pct"/>
          </w:tcPr>
          <w:p>
            <w:pPr>
              <w:jc w:val="center"/>
              <w:rPr>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0" w:hRule="atLeast"/>
          <w:jc w:val="center"/>
        </w:trPr>
        <w:tc>
          <w:tcPr>
            <w:tcW w:w="419" w:type="pct"/>
          </w:tcPr>
          <w:p>
            <w:pPr>
              <w:jc w:val="center"/>
              <w:rPr>
                <w:bCs/>
                <w:szCs w:val="21"/>
              </w:rPr>
            </w:pPr>
          </w:p>
        </w:tc>
        <w:tc>
          <w:tcPr>
            <w:tcW w:w="782" w:type="pct"/>
          </w:tcPr>
          <w:p>
            <w:pPr>
              <w:jc w:val="center"/>
              <w:rPr>
                <w:bCs/>
                <w:szCs w:val="21"/>
              </w:rPr>
            </w:pPr>
          </w:p>
        </w:tc>
        <w:tc>
          <w:tcPr>
            <w:tcW w:w="410" w:type="pct"/>
          </w:tcPr>
          <w:p>
            <w:pPr>
              <w:jc w:val="center"/>
              <w:rPr>
                <w:bCs/>
                <w:szCs w:val="21"/>
              </w:rPr>
            </w:pPr>
          </w:p>
        </w:tc>
        <w:tc>
          <w:tcPr>
            <w:tcW w:w="1148" w:type="pct"/>
          </w:tcPr>
          <w:p>
            <w:pPr>
              <w:jc w:val="center"/>
              <w:rPr>
                <w:bCs/>
                <w:szCs w:val="21"/>
              </w:rPr>
            </w:pPr>
          </w:p>
        </w:tc>
        <w:tc>
          <w:tcPr>
            <w:tcW w:w="436" w:type="pct"/>
          </w:tcPr>
          <w:p>
            <w:pPr>
              <w:jc w:val="center"/>
              <w:rPr>
                <w:bCs/>
                <w:szCs w:val="21"/>
              </w:rPr>
            </w:pPr>
          </w:p>
        </w:tc>
        <w:tc>
          <w:tcPr>
            <w:tcW w:w="398" w:type="pct"/>
          </w:tcPr>
          <w:p>
            <w:pPr>
              <w:jc w:val="center"/>
              <w:rPr>
                <w:bCs/>
                <w:szCs w:val="21"/>
              </w:rPr>
            </w:pPr>
          </w:p>
        </w:tc>
        <w:tc>
          <w:tcPr>
            <w:tcW w:w="920" w:type="pct"/>
          </w:tcPr>
          <w:p>
            <w:pPr>
              <w:jc w:val="center"/>
              <w:rPr>
                <w:bCs/>
                <w:szCs w:val="21"/>
              </w:rPr>
            </w:pPr>
          </w:p>
        </w:tc>
        <w:tc>
          <w:tcPr>
            <w:tcW w:w="485" w:type="pct"/>
          </w:tcPr>
          <w:p>
            <w:pPr>
              <w:jc w:val="center"/>
              <w:rPr>
                <w:bCs/>
                <w:szCs w:val="21"/>
              </w:rPr>
            </w:pPr>
          </w:p>
        </w:tc>
      </w:tr>
    </w:tbl>
    <w:p>
      <w:pPr>
        <w:numPr>
          <w:ilvl w:val="0"/>
          <w:numId w:val="0"/>
        </w:numPr>
        <w:spacing w:line="360" w:lineRule="auto"/>
        <w:rPr>
          <w:rFonts w:hint="default" w:ascii="宋体" w:hAnsi="宋体" w:eastAsia="宋体"/>
          <w:color w:val="0000FF"/>
          <w:sz w:val="24"/>
          <w:szCs w:val="24"/>
          <w:lang w:val="en-US" w:eastAsia="zh-CN"/>
        </w:rPr>
      </w:pPr>
    </w:p>
    <w:p>
      <w:pPr>
        <w:spacing w:line="360" w:lineRule="auto"/>
        <w:rPr>
          <w:rFonts w:hint="default" w:ascii="宋体" w:hAnsi="宋体" w:eastAsia="宋体"/>
          <w:b w:val="0"/>
          <w:bCs w:val="0"/>
          <w:sz w:val="24"/>
          <w:szCs w:val="24"/>
          <w:lang w:val="en-US"/>
        </w:rPr>
      </w:pPr>
      <w:r>
        <w:rPr>
          <w:rFonts w:hint="eastAsia" w:ascii="宋体" w:hAnsi="宋体" w:eastAsia="宋体"/>
          <w:b/>
          <w:bCs/>
          <w:sz w:val="24"/>
          <w:szCs w:val="24"/>
        </w:rPr>
        <w:t>2、填写</w:t>
      </w:r>
      <w:r>
        <w:rPr>
          <w:rFonts w:hint="eastAsia" w:ascii="宋体" w:hAnsi="宋体" w:eastAsia="宋体"/>
          <w:b/>
          <w:bCs/>
          <w:sz w:val="24"/>
          <w:szCs w:val="24"/>
          <w:lang w:eastAsia="zh-CN"/>
        </w:rPr>
        <w:t>《</w:t>
      </w:r>
      <w:r>
        <w:rPr>
          <w:rFonts w:hint="eastAsia" w:ascii="宋体" w:hAnsi="宋体" w:eastAsia="宋体"/>
          <w:b/>
          <w:bCs/>
          <w:sz w:val="24"/>
          <w:szCs w:val="24"/>
        </w:rPr>
        <w:t>发展党员政审专用函</w:t>
      </w:r>
      <w:r>
        <w:rPr>
          <w:rFonts w:hint="eastAsia" w:ascii="宋体" w:hAnsi="宋体" w:eastAsia="宋体"/>
          <w:b/>
          <w:bCs/>
          <w:sz w:val="24"/>
          <w:szCs w:val="24"/>
          <w:lang w:eastAsia="zh-CN"/>
        </w:rPr>
        <w:t>》</w:t>
      </w:r>
      <w:r>
        <w:rPr>
          <w:rFonts w:hint="eastAsia" w:ascii="宋体" w:hAnsi="宋体" w:eastAsia="宋体"/>
          <w:b/>
          <w:bCs/>
          <w:sz w:val="24"/>
          <w:szCs w:val="24"/>
          <w:lang w:val="en-US" w:eastAsia="zh-CN"/>
        </w:rPr>
        <w:t>学院党委盖章，附上《发展党员政审函调表》并邮寄。</w:t>
      </w:r>
      <w:r>
        <w:rPr>
          <w:rFonts w:hint="eastAsia" w:ascii="宋体" w:hAnsi="宋体" w:eastAsia="宋体"/>
          <w:b w:val="0"/>
          <w:bCs w:val="0"/>
          <w:sz w:val="24"/>
          <w:szCs w:val="24"/>
          <w:lang w:val="en-US" w:eastAsia="zh-CN"/>
        </w:rPr>
        <w:t>邮寄建议用顺丰快递寄出。</w:t>
      </w:r>
    </w:p>
    <w:p>
      <w:pPr>
        <w:spacing w:line="360" w:lineRule="auto"/>
        <w:rPr>
          <w:rFonts w:ascii="宋体" w:hAnsi="宋体" w:eastAsia="宋体"/>
          <w:sz w:val="24"/>
          <w:szCs w:val="24"/>
        </w:rPr>
      </w:pPr>
      <w:r>
        <w:rPr>
          <w:rFonts w:ascii="宋体" w:hAnsi="宋体" w:eastAsia="宋体"/>
          <w:b/>
          <w:bCs/>
          <w:sz w:val="24"/>
          <w:szCs w:val="24"/>
        </w:rPr>
        <w:t>3</w:t>
      </w:r>
      <w:r>
        <w:rPr>
          <w:rFonts w:hint="eastAsia" w:ascii="宋体" w:hAnsi="宋体" w:eastAsia="宋体"/>
          <w:b/>
          <w:bCs/>
          <w:sz w:val="24"/>
          <w:szCs w:val="24"/>
        </w:rPr>
        <w:t>、外调函回函处理</w:t>
      </w:r>
      <w:r>
        <w:rPr>
          <w:rFonts w:hint="eastAsia" w:ascii="宋体" w:hAnsi="宋体" w:eastAsia="宋体"/>
          <w:b/>
          <w:bCs/>
          <w:sz w:val="24"/>
          <w:szCs w:val="24"/>
          <w:lang w:eastAsia="zh-CN"/>
        </w:rPr>
        <w:t>。</w:t>
      </w:r>
      <w:bookmarkStart w:id="0" w:name="_GoBack"/>
      <w:bookmarkEnd w:id="0"/>
      <w:r>
        <w:rPr>
          <w:rFonts w:hint="eastAsia" w:ascii="宋体" w:hAnsi="宋体" w:eastAsia="宋体"/>
          <w:sz w:val="24"/>
          <w:szCs w:val="24"/>
        </w:rPr>
        <w:t>支部书记在领取到回函后，请仔细阅读回函意见，主要看</w:t>
      </w:r>
      <w:r>
        <w:rPr>
          <w:rFonts w:hint="eastAsia" w:ascii="宋体" w:hAnsi="宋体" w:eastAsia="宋体"/>
          <w:sz w:val="24"/>
          <w:szCs w:val="24"/>
          <w:lang w:val="en-US" w:eastAsia="zh-CN"/>
        </w:rPr>
        <w:t>政审对象</w:t>
      </w:r>
      <w:r>
        <w:rPr>
          <w:rFonts w:hint="eastAsia" w:ascii="宋体" w:hAnsi="宋体" w:eastAsia="宋体"/>
          <w:sz w:val="24"/>
          <w:szCs w:val="24"/>
        </w:rPr>
        <w:t>是否有过刑事案件记录；政治立场是否有问题。如有此类异常情况，请立即和党建指导老师沟通。</w:t>
      </w:r>
      <w:r>
        <w:rPr>
          <w:rFonts w:hint="eastAsia" w:ascii="宋体" w:hAnsi="宋体" w:eastAsia="宋体"/>
          <w:b/>
          <w:sz w:val="24"/>
          <w:szCs w:val="24"/>
        </w:rPr>
        <w:t>如无特殊情况，支部收齐回函后交由党建指导老师再次确认后填写政审结论性意见并签名。</w:t>
      </w:r>
    </w:p>
    <w:p>
      <w:pPr>
        <w:spacing w:line="360" w:lineRule="auto"/>
        <w:rPr>
          <w:rFonts w:ascii="宋体" w:hAnsi="宋体" w:eastAsia="宋体"/>
          <w:sz w:val="24"/>
          <w:szCs w:val="24"/>
        </w:rPr>
      </w:pPr>
      <w:r>
        <w:rPr>
          <w:rFonts w:ascii="宋体" w:hAnsi="宋体" w:eastAsia="宋体"/>
          <w:b/>
          <w:bCs/>
          <w:sz w:val="24"/>
          <w:szCs w:val="24"/>
        </w:rPr>
        <w:t>4</w:t>
      </w:r>
      <w:r>
        <w:rPr>
          <w:rFonts w:hint="eastAsia" w:ascii="宋体" w:hAnsi="宋体" w:eastAsia="宋体"/>
          <w:b/>
          <w:bCs/>
          <w:sz w:val="24"/>
          <w:szCs w:val="24"/>
        </w:rPr>
        <w:t>、归档</w:t>
      </w:r>
      <w:r>
        <w:rPr>
          <w:rFonts w:hint="eastAsia" w:ascii="宋体" w:hAnsi="宋体" w:eastAsia="宋体"/>
          <w:b/>
          <w:bCs/>
          <w:sz w:val="24"/>
          <w:szCs w:val="24"/>
          <w:lang w:eastAsia="zh-CN"/>
        </w:rPr>
        <w:t>。</w:t>
      </w:r>
      <w:r>
        <w:rPr>
          <w:rFonts w:hint="eastAsia" w:ascii="宋体" w:hAnsi="宋体" w:eastAsia="宋体"/>
          <w:sz w:val="24"/>
          <w:szCs w:val="24"/>
        </w:rPr>
        <w:t>回函原件和政审结论性意见均要放入党员档案中。</w:t>
      </w:r>
    </w:p>
    <w:p>
      <w:pPr>
        <w:spacing w:line="360" w:lineRule="auto"/>
        <w:rPr>
          <w:rFonts w:ascii="宋体" w:hAnsi="宋体" w:eastAsia="宋体"/>
          <w:b/>
          <w:bCs/>
          <w:sz w:val="24"/>
          <w:szCs w:val="24"/>
        </w:rPr>
      </w:pPr>
      <w:r>
        <w:rPr>
          <w:rFonts w:ascii="宋体" w:hAnsi="宋体" w:eastAsia="宋体"/>
          <w:b/>
          <w:bCs/>
          <w:sz w:val="24"/>
          <w:szCs w:val="24"/>
        </w:rPr>
        <w:tab/>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0943F2B"/>
    <w:multiLevelType w:val="singleLevel"/>
    <w:tmpl w:val="B0943F2B"/>
    <w:lvl w:ilvl="0" w:tentative="0">
      <w:start w:val="1"/>
      <w:numFmt w:val="decimal"/>
      <w:suff w:val="nothing"/>
      <w:lvlText w:val="%1、"/>
      <w:lvlJc w:val="left"/>
      <w:rPr>
        <w:rFonts w:hint="default"/>
        <w:color w:val="auto"/>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DViY2JkMjU3NGYzZTEwMzZmMGFkZWViYmNkYWU3NDIifQ=="/>
  </w:docVars>
  <w:rsids>
    <w:rsidRoot w:val="00F00512"/>
    <w:rsid w:val="00022261"/>
    <w:rsid w:val="000E6F53"/>
    <w:rsid w:val="00102775"/>
    <w:rsid w:val="0045647E"/>
    <w:rsid w:val="0074421C"/>
    <w:rsid w:val="0076786C"/>
    <w:rsid w:val="007D6ACB"/>
    <w:rsid w:val="007E22AB"/>
    <w:rsid w:val="008C14AC"/>
    <w:rsid w:val="009E6697"/>
    <w:rsid w:val="00A62A9A"/>
    <w:rsid w:val="00D34479"/>
    <w:rsid w:val="00F00512"/>
    <w:rsid w:val="00F05EFD"/>
    <w:rsid w:val="038B348F"/>
    <w:rsid w:val="199B3375"/>
    <w:rsid w:val="1C95388E"/>
    <w:rsid w:val="21E02882"/>
    <w:rsid w:val="237D6BE6"/>
    <w:rsid w:val="363A088F"/>
    <w:rsid w:val="37326855"/>
    <w:rsid w:val="4CBF5D45"/>
    <w:rsid w:val="600734E4"/>
    <w:rsid w:val="62DB270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autoRedefine/>
    <w:semiHidden/>
    <w:unhideWhenUsed/>
    <w:qFormat/>
    <w:uiPriority w:val="1"/>
  </w:style>
  <w:style w:type="table" w:default="1" w:styleId="4">
    <w:name w:val="Normal Table"/>
    <w:autoRedefine/>
    <w:semiHidden/>
    <w:unhideWhenUsed/>
    <w:qFormat/>
    <w:uiPriority w:val="99"/>
    <w:tblPr>
      <w:tblCellMar>
        <w:top w:w="0" w:type="dxa"/>
        <w:left w:w="108" w:type="dxa"/>
        <w:bottom w:w="0" w:type="dxa"/>
        <w:right w:w="108" w:type="dxa"/>
      </w:tblCellMar>
    </w:tblPr>
  </w:style>
  <w:style w:type="paragraph" w:styleId="2">
    <w:name w:val="footer"/>
    <w:basedOn w:val="1"/>
    <w:link w:val="8"/>
    <w:autoRedefine/>
    <w:unhideWhenUsed/>
    <w:qFormat/>
    <w:uiPriority w:val="99"/>
    <w:pPr>
      <w:tabs>
        <w:tab w:val="center" w:pos="4153"/>
        <w:tab w:val="right" w:pos="8306"/>
      </w:tabs>
      <w:snapToGrid w:val="0"/>
      <w:jc w:val="left"/>
    </w:pPr>
    <w:rPr>
      <w:sz w:val="18"/>
      <w:szCs w:val="18"/>
    </w:rPr>
  </w:style>
  <w:style w:type="paragraph" w:styleId="3">
    <w:name w:val="header"/>
    <w:basedOn w:val="1"/>
    <w:link w:val="7"/>
    <w:autoRedefine/>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List Paragraph"/>
    <w:basedOn w:val="1"/>
    <w:autoRedefine/>
    <w:qFormat/>
    <w:uiPriority w:val="34"/>
    <w:pPr>
      <w:ind w:firstLine="420" w:firstLineChars="200"/>
    </w:pPr>
  </w:style>
  <w:style w:type="character" w:customStyle="1" w:styleId="7">
    <w:name w:val="页眉 Char"/>
    <w:basedOn w:val="5"/>
    <w:link w:val="3"/>
    <w:autoRedefine/>
    <w:qFormat/>
    <w:uiPriority w:val="99"/>
    <w:rPr>
      <w:sz w:val="18"/>
      <w:szCs w:val="18"/>
    </w:rPr>
  </w:style>
  <w:style w:type="character" w:customStyle="1" w:styleId="8">
    <w:name w:val="页脚 Char"/>
    <w:basedOn w:val="5"/>
    <w:link w:val="2"/>
    <w:autoRedefine/>
    <w:qFormat/>
    <w:uiPriority w:val="99"/>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2</Pages>
  <Words>115</Words>
  <Characters>656</Characters>
  <Lines>5</Lines>
  <Paragraphs>1</Paragraphs>
  <TotalTime>1</TotalTime>
  <ScaleCrop>false</ScaleCrop>
  <LinksUpToDate>false</LinksUpToDate>
  <CharactersWithSpaces>770</CharactersWithSpaces>
  <Application>WPS Office_12.1.0.16417_F1E327BC-269C-435d-A152-05C5408002CA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2020-11-18T02:12:00Z</dcterms:created>
  <dc:creator>陈晓倩</dc:creator>
  <cp:lastModifiedBy>蒿籇郝昊</cp:lastModifiedBy>
  <dcterms:modified xsi:type="dcterms:W3CDTF">2024-04-10T07:32:52Z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2052-12.1.0.16417</vt:lpwstr>
  </property>
  <property fmtid="{D5CDD505-2E9C-101B-9397-08002B2CF9AE}" pid="3" name="ICV">
    <vt:lpwstr>713CCBD0E0D44874A5D6E03085E39363_12</vt:lpwstr>
  </property>
</Properties>
</file>