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7BB4" w14:textId="77777777" w:rsidR="005D5796" w:rsidRDefault="00000000">
      <w:pPr>
        <w:spacing w:line="360" w:lineRule="auto"/>
        <w:jc w:val="center"/>
        <w:rPr>
          <w:rFonts w:ascii="华文中宋" w:eastAsia="华文中宋" w:hint="eastAsia"/>
          <w:b/>
          <w:sz w:val="36"/>
        </w:rPr>
      </w:pPr>
      <w:r>
        <w:rPr>
          <w:rFonts w:ascii="华文中宋" w:eastAsia="华文中宋" w:hint="eastAsia"/>
          <w:b/>
          <w:sz w:val="36"/>
        </w:rPr>
        <w:t>浙江工业大学计算机学院研究生国家奖学金评定办法</w:t>
      </w:r>
    </w:p>
    <w:p w14:paraId="285BDF9B" w14:textId="554BF372" w:rsidR="005D5796" w:rsidRDefault="00000000">
      <w:pPr>
        <w:jc w:val="center"/>
        <w:rPr>
          <w:rFonts w:hint="eastAsia"/>
          <w:b/>
          <w:bCs/>
          <w:sz w:val="28"/>
          <w:szCs w:val="28"/>
        </w:rPr>
      </w:pPr>
      <w:r>
        <w:rPr>
          <w:b/>
          <w:bCs/>
          <w:sz w:val="28"/>
          <w:szCs w:val="28"/>
        </w:rPr>
        <w:t>（</w:t>
      </w:r>
      <w:r>
        <w:rPr>
          <w:rFonts w:hint="eastAsia"/>
          <w:b/>
          <w:bCs/>
          <w:sz w:val="28"/>
          <w:szCs w:val="28"/>
          <w:lang w:val="en-US"/>
        </w:rPr>
        <w:t>202</w:t>
      </w:r>
      <w:r w:rsidR="00B7403B">
        <w:rPr>
          <w:rFonts w:hint="eastAsia"/>
          <w:b/>
          <w:bCs/>
          <w:sz w:val="28"/>
          <w:szCs w:val="28"/>
          <w:lang w:val="en-US"/>
        </w:rPr>
        <w:t>5</w:t>
      </w:r>
      <w:r>
        <w:rPr>
          <w:rFonts w:hint="eastAsia"/>
          <w:b/>
          <w:bCs/>
          <w:sz w:val="28"/>
          <w:szCs w:val="28"/>
          <w:lang w:val="en-US"/>
        </w:rPr>
        <w:t>年</w:t>
      </w:r>
      <w:r>
        <w:rPr>
          <w:b/>
          <w:bCs/>
          <w:sz w:val="28"/>
          <w:szCs w:val="28"/>
        </w:rPr>
        <w:t>修订）</w:t>
      </w:r>
    </w:p>
    <w:p w14:paraId="4B46E1E3" w14:textId="77777777" w:rsidR="005D5796" w:rsidRDefault="00000000">
      <w:pPr>
        <w:spacing w:line="360" w:lineRule="auto"/>
        <w:ind w:firstLineChars="200" w:firstLine="560"/>
        <w:rPr>
          <w:rFonts w:hint="eastAsia"/>
          <w:sz w:val="28"/>
          <w:szCs w:val="28"/>
        </w:rPr>
      </w:pPr>
      <w:r>
        <w:rPr>
          <w:rFonts w:hint="eastAsia"/>
          <w:sz w:val="28"/>
          <w:szCs w:val="28"/>
        </w:rPr>
        <w:t>为提高研究生教育培养质量、大力推进培养机制改革、促进拔尖创新人才培养，激励研究生勤奋学习、专心科研，在德、智、体、美等方面得到全面发展，根据财政部、教育部印发《普通高等学校研究生国家奖学金评审办法》（财教〔2014〕1号）和《浙江工业大学研究生国家奖学金实施细则》（浙工大发[2022]34号）的文件精神，结合我院实际，制定本办法。</w:t>
      </w:r>
    </w:p>
    <w:p w14:paraId="12DCC295" w14:textId="77777777" w:rsidR="005D5796" w:rsidRDefault="00000000">
      <w:pPr>
        <w:numPr>
          <w:ilvl w:val="0"/>
          <w:numId w:val="1"/>
        </w:numPr>
        <w:spacing w:line="360" w:lineRule="auto"/>
        <w:rPr>
          <w:rFonts w:hint="eastAsia"/>
          <w:b/>
          <w:bCs/>
          <w:sz w:val="28"/>
          <w:szCs w:val="28"/>
        </w:rPr>
      </w:pPr>
      <w:r>
        <w:rPr>
          <w:rFonts w:hint="eastAsia"/>
          <w:b/>
          <w:bCs/>
          <w:sz w:val="28"/>
          <w:szCs w:val="28"/>
        </w:rPr>
        <w:t>奖励标准</w:t>
      </w:r>
    </w:p>
    <w:p w14:paraId="3D46AC96" w14:textId="77777777" w:rsidR="005D5796" w:rsidRDefault="00000000">
      <w:pPr>
        <w:spacing w:line="360" w:lineRule="auto"/>
        <w:ind w:firstLineChars="200" w:firstLine="560"/>
        <w:rPr>
          <w:rFonts w:hint="eastAsia"/>
          <w:sz w:val="28"/>
          <w:szCs w:val="28"/>
        </w:rPr>
      </w:pPr>
      <w:r>
        <w:rPr>
          <w:rFonts w:hint="eastAsia"/>
          <w:sz w:val="28"/>
          <w:szCs w:val="28"/>
        </w:rPr>
        <w:t>博士研究生国家奖学金奖励标准为每生每年3万元；硕士研究生国家奖学金奖励标准为每生每年2万元。</w:t>
      </w:r>
    </w:p>
    <w:p w14:paraId="6B4D046E" w14:textId="77777777" w:rsidR="005D5796" w:rsidRDefault="00000000">
      <w:pPr>
        <w:pStyle w:val="1"/>
        <w:spacing w:line="360" w:lineRule="auto"/>
        <w:ind w:left="0"/>
        <w:rPr>
          <w:rFonts w:hint="eastAsia"/>
        </w:rPr>
      </w:pPr>
      <w:r>
        <w:t>二、申请对象</w:t>
      </w:r>
    </w:p>
    <w:p w14:paraId="089D85D7" w14:textId="77777777" w:rsidR="005D5796" w:rsidRDefault="00000000">
      <w:pPr>
        <w:spacing w:line="360" w:lineRule="auto"/>
        <w:ind w:firstLineChars="200" w:firstLine="560"/>
        <w:rPr>
          <w:rFonts w:hint="eastAsia"/>
          <w:sz w:val="28"/>
          <w:szCs w:val="28"/>
        </w:rPr>
      </w:pPr>
      <w:r>
        <w:rPr>
          <w:rFonts w:hint="eastAsia"/>
          <w:sz w:val="28"/>
          <w:szCs w:val="28"/>
        </w:rPr>
        <w:t>具有中华人民共和国国籍，且纳入全国研究生招生计划、在正常学制内的全日制研究生。</w:t>
      </w:r>
    </w:p>
    <w:p w14:paraId="6572FC31" w14:textId="77777777" w:rsidR="005D5796" w:rsidRDefault="00000000">
      <w:pPr>
        <w:pStyle w:val="1"/>
        <w:spacing w:line="360" w:lineRule="auto"/>
        <w:ind w:left="0"/>
        <w:rPr>
          <w:rFonts w:hint="eastAsia"/>
        </w:rPr>
      </w:pPr>
      <w:r>
        <w:t>三、申请基本条件</w:t>
      </w:r>
    </w:p>
    <w:p w14:paraId="1DC0FB91" w14:textId="77777777" w:rsidR="005D5796" w:rsidRDefault="00000000">
      <w:pPr>
        <w:pStyle w:val="a4"/>
        <w:numPr>
          <w:ilvl w:val="255"/>
          <w:numId w:val="0"/>
        </w:numPr>
        <w:tabs>
          <w:tab w:val="left" w:pos="1382"/>
        </w:tabs>
        <w:spacing w:line="360" w:lineRule="auto"/>
        <w:rPr>
          <w:rFonts w:hint="eastAsia"/>
          <w:spacing w:val="-7"/>
          <w:sz w:val="28"/>
          <w:szCs w:val="28"/>
        </w:rPr>
      </w:pPr>
      <w:r>
        <w:rPr>
          <w:rFonts w:hint="eastAsia"/>
          <w:spacing w:val="-7"/>
          <w:sz w:val="28"/>
          <w:szCs w:val="28"/>
        </w:rPr>
        <w:t>（</w:t>
      </w:r>
      <w:r>
        <w:rPr>
          <w:rFonts w:hint="eastAsia"/>
          <w:spacing w:val="-7"/>
          <w:sz w:val="28"/>
          <w:szCs w:val="28"/>
          <w:lang w:val="en-US"/>
        </w:rPr>
        <w:t>1</w:t>
      </w:r>
      <w:r>
        <w:rPr>
          <w:rFonts w:hint="eastAsia"/>
          <w:spacing w:val="-7"/>
          <w:sz w:val="28"/>
          <w:szCs w:val="28"/>
        </w:rPr>
        <w:t>）</w:t>
      </w:r>
      <w:r>
        <w:rPr>
          <w:spacing w:val="-7"/>
          <w:sz w:val="28"/>
          <w:szCs w:val="28"/>
        </w:rPr>
        <w:t>热爱社会主义祖国，拥护中国共产党的领导；</w:t>
      </w:r>
    </w:p>
    <w:p w14:paraId="7C62DE8F" w14:textId="77777777" w:rsidR="005D5796" w:rsidRDefault="00000000">
      <w:pPr>
        <w:pStyle w:val="a4"/>
        <w:numPr>
          <w:ilvl w:val="255"/>
          <w:numId w:val="0"/>
        </w:numPr>
        <w:tabs>
          <w:tab w:val="left" w:pos="1382"/>
        </w:tabs>
        <w:spacing w:line="360" w:lineRule="auto"/>
        <w:rPr>
          <w:rFonts w:hint="eastAsia"/>
          <w:spacing w:val="-7"/>
          <w:sz w:val="28"/>
          <w:szCs w:val="28"/>
        </w:rPr>
      </w:pPr>
      <w:r>
        <w:rPr>
          <w:rFonts w:hint="eastAsia"/>
          <w:spacing w:val="-7"/>
          <w:sz w:val="28"/>
          <w:szCs w:val="28"/>
        </w:rPr>
        <w:t>（</w:t>
      </w:r>
      <w:r>
        <w:rPr>
          <w:rFonts w:hint="eastAsia"/>
          <w:spacing w:val="-7"/>
          <w:sz w:val="28"/>
          <w:szCs w:val="28"/>
          <w:lang w:val="en-US"/>
        </w:rPr>
        <w:t>2</w:t>
      </w:r>
      <w:r>
        <w:rPr>
          <w:rFonts w:hint="eastAsia"/>
          <w:spacing w:val="-7"/>
          <w:sz w:val="28"/>
          <w:szCs w:val="28"/>
        </w:rPr>
        <w:t>）</w:t>
      </w:r>
      <w:r>
        <w:rPr>
          <w:spacing w:val="-7"/>
          <w:sz w:val="28"/>
          <w:szCs w:val="28"/>
        </w:rPr>
        <w:t>遵守宪法和法律，遵守高等学校规章制度；</w:t>
      </w:r>
    </w:p>
    <w:p w14:paraId="051E7B94" w14:textId="77777777" w:rsidR="005D5796" w:rsidRDefault="00000000">
      <w:pPr>
        <w:pStyle w:val="a4"/>
        <w:numPr>
          <w:ilvl w:val="255"/>
          <w:numId w:val="0"/>
        </w:numPr>
        <w:tabs>
          <w:tab w:val="left" w:pos="1382"/>
        </w:tabs>
        <w:spacing w:line="360" w:lineRule="auto"/>
        <w:rPr>
          <w:rFonts w:hint="eastAsia"/>
          <w:spacing w:val="-7"/>
          <w:sz w:val="28"/>
          <w:szCs w:val="28"/>
        </w:rPr>
      </w:pPr>
      <w:r>
        <w:rPr>
          <w:rFonts w:hint="eastAsia"/>
          <w:spacing w:val="-7"/>
          <w:sz w:val="28"/>
          <w:szCs w:val="28"/>
        </w:rPr>
        <w:t>（</w:t>
      </w:r>
      <w:r>
        <w:rPr>
          <w:rFonts w:hint="eastAsia"/>
          <w:spacing w:val="-7"/>
          <w:sz w:val="28"/>
          <w:szCs w:val="28"/>
          <w:lang w:val="en-US"/>
        </w:rPr>
        <w:t>3</w:t>
      </w:r>
      <w:r>
        <w:rPr>
          <w:rFonts w:hint="eastAsia"/>
          <w:spacing w:val="-7"/>
          <w:sz w:val="28"/>
          <w:szCs w:val="28"/>
        </w:rPr>
        <w:t>）</w:t>
      </w:r>
      <w:r>
        <w:rPr>
          <w:spacing w:val="-7"/>
          <w:sz w:val="28"/>
          <w:szCs w:val="28"/>
        </w:rPr>
        <w:t>诚实守信，道德品质优良；</w:t>
      </w:r>
    </w:p>
    <w:p w14:paraId="05C23392" w14:textId="77777777" w:rsidR="005D5796" w:rsidRDefault="00000000">
      <w:pPr>
        <w:pStyle w:val="a4"/>
        <w:numPr>
          <w:ilvl w:val="255"/>
          <w:numId w:val="0"/>
        </w:numPr>
        <w:tabs>
          <w:tab w:val="left" w:pos="1382"/>
        </w:tabs>
        <w:spacing w:line="360" w:lineRule="auto"/>
        <w:rPr>
          <w:rFonts w:hint="eastAsia"/>
          <w:spacing w:val="-7"/>
          <w:sz w:val="28"/>
          <w:szCs w:val="28"/>
        </w:rPr>
      </w:pPr>
      <w:r>
        <w:rPr>
          <w:rFonts w:hint="eastAsia"/>
          <w:spacing w:val="-7"/>
          <w:sz w:val="28"/>
          <w:szCs w:val="28"/>
        </w:rPr>
        <w:t>（</w:t>
      </w:r>
      <w:r>
        <w:rPr>
          <w:rFonts w:hint="eastAsia"/>
          <w:spacing w:val="-7"/>
          <w:sz w:val="28"/>
          <w:szCs w:val="28"/>
          <w:lang w:val="en-US"/>
        </w:rPr>
        <w:t>4</w:t>
      </w:r>
      <w:r>
        <w:rPr>
          <w:rFonts w:hint="eastAsia"/>
          <w:spacing w:val="-7"/>
          <w:sz w:val="28"/>
          <w:szCs w:val="28"/>
        </w:rPr>
        <w:t>）</w:t>
      </w:r>
      <w:r>
        <w:rPr>
          <w:spacing w:val="-7"/>
          <w:sz w:val="28"/>
          <w:szCs w:val="28"/>
        </w:rPr>
        <w:t>学习成绩优异，科研能力及成果显著，发展潜力突出；</w:t>
      </w:r>
    </w:p>
    <w:p w14:paraId="0ABBC7B3" w14:textId="77777777" w:rsidR="005D5796" w:rsidRPr="00B7403B" w:rsidRDefault="00000000">
      <w:pPr>
        <w:pStyle w:val="a4"/>
        <w:numPr>
          <w:ilvl w:val="255"/>
          <w:numId w:val="0"/>
        </w:numPr>
        <w:tabs>
          <w:tab w:val="left" w:pos="1382"/>
        </w:tabs>
        <w:spacing w:line="360" w:lineRule="auto"/>
        <w:rPr>
          <w:rFonts w:hint="eastAsia"/>
          <w:color w:val="C00000"/>
          <w:spacing w:val="-7"/>
          <w:sz w:val="28"/>
          <w:szCs w:val="28"/>
        </w:rPr>
      </w:pPr>
      <w:r w:rsidRPr="00B7403B">
        <w:rPr>
          <w:rFonts w:hint="eastAsia"/>
          <w:color w:val="C00000"/>
          <w:spacing w:val="-7"/>
          <w:sz w:val="28"/>
          <w:szCs w:val="28"/>
        </w:rPr>
        <w:t>（</w:t>
      </w:r>
      <w:r w:rsidRPr="00B7403B">
        <w:rPr>
          <w:rFonts w:hint="eastAsia"/>
          <w:color w:val="C00000"/>
          <w:spacing w:val="-7"/>
          <w:sz w:val="28"/>
          <w:szCs w:val="28"/>
          <w:lang w:val="en-US"/>
        </w:rPr>
        <w:t>5</w:t>
      </w:r>
      <w:r w:rsidRPr="00B7403B">
        <w:rPr>
          <w:rFonts w:hint="eastAsia"/>
          <w:color w:val="C00000"/>
          <w:spacing w:val="-7"/>
          <w:sz w:val="28"/>
          <w:szCs w:val="28"/>
        </w:rPr>
        <w:t>）二年级及以上的硕士研究生需获得当年度校级一等学业奖学金；博士研究生需获得当年度学业奖学金；</w:t>
      </w:r>
    </w:p>
    <w:p w14:paraId="67404093" w14:textId="77777777" w:rsidR="005D5796" w:rsidRDefault="00000000">
      <w:pPr>
        <w:rPr>
          <w:rFonts w:hint="eastAsia"/>
          <w:sz w:val="28"/>
        </w:rPr>
      </w:pPr>
      <w:r>
        <w:rPr>
          <w:rFonts w:hint="eastAsia"/>
          <w:spacing w:val="-7"/>
          <w:sz w:val="28"/>
          <w:szCs w:val="28"/>
        </w:rPr>
        <w:t>（</w:t>
      </w:r>
      <w:r>
        <w:rPr>
          <w:rFonts w:hint="eastAsia"/>
          <w:spacing w:val="-7"/>
          <w:sz w:val="28"/>
          <w:szCs w:val="28"/>
          <w:lang w:val="en-US"/>
        </w:rPr>
        <w:t>6</w:t>
      </w:r>
      <w:r>
        <w:rPr>
          <w:rFonts w:hint="eastAsia"/>
          <w:spacing w:val="-7"/>
          <w:sz w:val="28"/>
          <w:szCs w:val="28"/>
        </w:rPr>
        <w:t>）</w:t>
      </w:r>
      <w:r>
        <w:rPr>
          <w:spacing w:val="-7"/>
          <w:sz w:val="28"/>
          <w:szCs w:val="28"/>
        </w:rPr>
        <w:t>不授予中间学位的硕博连读学生，根据当年所修课程的层次阶段确</w:t>
      </w:r>
      <w:r>
        <w:rPr>
          <w:spacing w:val="-7"/>
          <w:sz w:val="28"/>
          <w:szCs w:val="28"/>
        </w:rPr>
        <w:lastRenderedPageBreak/>
        <w:t>定身份参与研究生国家奖学金的评定。在选修硕士课程阶段按照硕士研究生身份参与评定；进入选修博士研究生课程阶段按照博士研究生身份参与评定，且研究生课程绩点</w:t>
      </w:r>
      <w:r>
        <w:rPr>
          <w:spacing w:val="-3"/>
          <w:sz w:val="28"/>
        </w:rPr>
        <w:t>计分方式按本办法</w:t>
      </w:r>
      <w:r>
        <w:rPr>
          <w:sz w:val="28"/>
        </w:rPr>
        <w:t>4.2.2执行。</w:t>
      </w:r>
    </w:p>
    <w:p w14:paraId="7C413360" w14:textId="77777777" w:rsidR="005D5796" w:rsidRDefault="00000000">
      <w:pPr>
        <w:pStyle w:val="a4"/>
        <w:numPr>
          <w:ilvl w:val="255"/>
          <w:numId w:val="0"/>
        </w:numPr>
        <w:tabs>
          <w:tab w:val="left" w:pos="1382"/>
        </w:tabs>
        <w:spacing w:line="360" w:lineRule="auto"/>
        <w:rPr>
          <w:rFonts w:hint="eastAsia"/>
          <w:sz w:val="28"/>
        </w:rPr>
      </w:pPr>
      <w:r>
        <w:rPr>
          <w:rFonts w:hint="eastAsia"/>
          <w:spacing w:val="-4"/>
          <w:sz w:val="28"/>
        </w:rPr>
        <w:t>（</w:t>
      </w:r>
      <w:r>
        <w:rPr>
          <w:rFonts w:hint="eastAsia"/>
          <w:spacing w:val="-4"/>
          <w:sz w:val="28"/>
          <w:lang w:val="en-US"/>
        </w:rPr>
        <w:t>7</w:t>
      </w:r>
      <w:r>
        <w:rPr>
          <w:rFonts w:hint="eastAsia"/>
          <w:spacing w:val="-4"/>
          <w:sz w:val="28"/>
        </w:rPr>
        <w:t>）</w:t>
      </w:r>
      <w:r>
        <w:rPr>
          <w:spacing w:val="-4"/>
          <w:sz w:val="28"/>
        </w:rPr>
        <w:t>研究生出现以下任一情况，不具备当年研究生国家奖学金</w:t>
      </w:r>
      <w:r>
        <w:rPr>
          <w:spacing w:val="-1"/>
          <w:sz w:val="28"/>
        </w:rPr>
        <w:t>参评资格：</w:t>
      </w:r>
    </w:p>
    <w:p w14:paraId="3C508380" w14:textId="77777777" w:rsidR="005D5796" w:rsidRDefault="00000000">
      <w:pPr>
        <w:pStyle w:val="a4"/>
        <w:numPr>
          <w:ilvl w:val="255"/>
          <w:numId w:val="0"/>
        </w:numPr>
        <w:tabs>
          <w:tab w:val="left" w:pos="1243"/>
        </w:tabs>
        <w:spacing w:line="360" w:lineRule="auto"/>
        <w:rPr>
          <w:rFonts w:hint="eastAsia"/>
          <w:sz w:val="28"/>
        </w:rPr>
      </w:pPr>
      <w:r>
        <w:rPr>
          <w:rFonts w:hint="eastAsia"/>
          <w:spacing w:val="-2"/>
          <w:sz w:val="28"/>
          <w:lang w:val="en-US"/>
        </w:rPr>
        <w:t>1）</w:t>
      </w:r>
      <w:r>
        <w:rPr>
          <w:spacing w:val="-2"/>
          <w:sz w:val="28"/>
        </w:rPr>
        <w:t>仍在受处分期内者；</w:t>
      </w:r>
    </w:p>
    <w:p w14:paraId="65295EF2" w14:textId="77777777" w:rsidR="005D5796" w:rsidRDefault="00000000">
      <w:pPr>
        <w:pStyle w:val="a4"/>
        <w:tabs>
          <w:tab w:val="left" w:pos="1243"/>
        </w:tabs>
        <w:spacing w:line="360" w:lineRule="auto"/>
        <w:ind w:left="0" w:firstLine="0"/>
        <w:rPr>
          <w:rFonts w:hint="eastAsia"/>
        </w:rPr>
      </w:pPr>
      <w:r>
        <w:rPr>
          <w:rFonts w:hint="eastAsia"/>
          <w:spacing w:val="-7"/>
          <w:sz w:val="28"/>
          <w:lang w:val="en-US"/>
        </w:rPr>
        <w:t>2）</w:t>
      </w:r>
      <w:r>
        <w:rPr>
          <w:spacing w:val="-7"/>
          <w:sz w:val="28"/>
        </w:rPr>
        <w:t>参评学年有抄袭剽窃、弄虚作假等学术不端行为经查证属实</w:t>
      </w:r>
      <w:r>
        <w:t>的；</w:t>
      </w:r>
    </w:p>
    <w:p w14:paraId="2DACFD48" w14:textId="77777777" w:rsidR="005D5796" w:rsidRDefault="00000000">
      <w:pPr>
        <w:pStyle w:val="a4"/>
        <w:numPr>
          <w:ilvl w:val="255"/>
          <w:numId w:val="0"/>
        </w:numPr>
        <w:tabs>
          <w:tab w:val="left" w:pos="1243"/>
        </w:tabs>
        <w:spacing w:line="360" w:lineRule="auto"/>
        <w:rPr>
          <w:rFonts w:hint="eastAsia"/>
          <w:sz w:val="28"/>
        </w:rPr>
      </w:pPr>
      <w:r>
        <w:rPr>
          <w:rFonts w:hint="eastAsia"/>
          <w:spacing w:val="-3"/>
          <w:sz w:val="28"/>
          <w:lang w:val="en-US"/>
        </w:rPr>
        <w:t>3）</w:t>
      </w:r>
      <w:r>
        <w:rPr>
          <w:spacing w:val="-3"/>
          <w:sz w:val="28"/>
        </w:rPr>
        <w:t>参评学年学籍状态处于休学、保留学籍者；</w:t>
      </w:r>
    </w:p>
    <w:p w14:paraId="75ED3C31" w14:textId="77777777" w:rsidR="005D5796" w:rsidRDefault="00000000">
      <w:pPr>
        <w:spacing w:line="360" w:lineRule="auto"/>
        <w:rPr>
          <w:rFonts w:hint="eastAsia"/>
          <w:spacing w:val="-16"/>
          <w:sz w:val="28"/>
        </w:rPr>
      </w:pPr>
      <w:r>
        <w:rPr>
          <w:rFonts w:hint="eastAsia"/>
          <w:spacing w:val="-16"/>
          <w:sz w:val="28"/>
          <w:lang w:val="en-US"/>
        </w:rPr>
        <w:t>4）</w:t>
      </w:r>
      <w:r>
        <w:rPr>
          <w:spacing w:val="-16"/>
          <w:sz w:val="28"/>
        </w:rPr>
        <w:t>因私出国留学、疾病、创业、工作安排等原因未在校学习者。</w:t>
      </w:r>
    </w:p>
    <w:p w14:paraId="735C7772" w14:textId="77777777" w:rsidR="005D5796" w:rsidRDefault="00000000">
      <w:pPr>
        <w:pStyle w:val="1"/>
        <w:spacing w:line="360" w:lineRule="auto"/>
        <w:ind w:left="0"/>
        <w:rPr>
          <w:rFonts w:hint="eastAsia"/>
        </w:rPr>
      </w:pPr>
      <w:r>
        <w:t>四、评审程序</w:t>
      </w:r>
    </w:p>
    <w:p w14:paraId="1F9DF2B0" w14:textId="77777777" w:rsidR="005D5796" w:rsidRDefault="00000000">
      <w:pPr>
        <w:spacing w:line="360" w:lineRule="auto"/>
        <w:rPr>
          <w:rFonts w:hint="eastAsia"/>
          <w:spacing w:val="-16"/>
          <w:sz w:val="28"/>
        </w:rPr>
      </w:pPr>
      <w:r>
        <w:rPr>
          <w:rFonts w:hint="eastAsia"/>
          <w:spacing w:val="-16"/>
          <w:sz w:val="28"/>
        </w:rPr>
        <w:t>1、我院成立由学院主要领导、分管领导、研究生辅导员、研究生秘书、研究生导师代表、研究生代表等组成的研究生国家奖学金评审委员会，负责我院研究生国家奖学金的申请组织、评审、公示、申诉等工作。</w:t>
      </w:r>
    </w:p>
    <w:p w14:paraId="38FA4EEC" w14:textId="77777777" w:rsidR="005D5796" w:rsidRDefault="00000000">
      <w:pPr>
        <w:spacing w:line="360" w:lineRule="auto"/>
        <w:rPr>
          <w:rFonts w:hint="eastAsia"/>
          <w:spacing w:val="-16"/>
          <w:sz w:val="28"/>
        </w:rPr>
      </w:pPr>
      <w:r>
        <w:rPr>
          <w:rFonts w:hint="eastAsia"/>
          <w:spacing w:val="-16"/>
          <w:sz w:val="28"/>
        </w:rPr>
        <w:t>2、申请。符合申请条件的研究生参照《浙江工业大学计算机学院研究生综合测评办法》加分细则，结合同阶段研究生期间的成果（截至到评选当年的8月31日）填写《计算机学院研究生国奖申报综合测评登记表》以及《浙江工业大学研究生国家奖学金申请审批表》，导师填写推荐意见，向学院提出申请。研究生在基本修业年限内可多次申请研究生国家奖学金，但研究生期间成果不可重复申报使用，即：</w:t>
      </w:r>
    </w:p>
    <w:p w14:paraId="7C19D7B3" w14:textId="77777777" w:rsidR="005D5796" w:rsidRDefault="00000000">
      <w:pPr>
        <w:spacing w:line="360" w:lineRule="auto"/>
        <w:rPr>
          <w:rFonts w:hint="eastAsia"/>
          <w:spacing w:val="-16"/>
          <w:sz w:val="28"/>
        </w:rPr>
      </w:pPr>
      <w:r>
        <w:rPr>
          <w:rFonts w:hint="eastAsia"/>
          <w:spacing w:val="-16"/>
          <w:sz w:val="28"/>
        </w:rPr>
        <w:t>（1）如上一年度获得过国家奖学金，上一年度的所有成果不可再申报，但差值可算。如出现发明专利第一年受理，第二年授权情况；或者论文第一学年公开发表，第二学年被SCI、EI收录情况下，第二年取两类差值分等情况；</w:t>
      </w:r>
    </w:p>
    <w:p w14:paraId="3B5E34E3" w14:textId="77777777" w:rsidR="005D5796" w:rsidRDefault="00000000">
      <w:pPr>
        <w:spacing w:line="360" w:lineRule="auto"/>
        <w:rPr>
          <w:rFonts w:hint="eastAsia"/>
          <w:spacing w:val="-16"/>
          <w:sz w:val="28"/>
        </w:rPr>
      </w:pPr>
      <w:r>
        <w:rPr>
          <w:rFonts w:hint="eastAsia"/>
          <w:spacing w:val="-16"/>
          <w:sz w:val="28"/>
        </w:rPr>
        <w:lastRenderedPageBreak/>
        <w:t>（2）硕博连读、本硕博连读绩点按照新修课来算，老课不重复，其中每个阶段的绩点只能用一次。</w:t>
      </w:r>
    </w:p>
    <w:p w14:paraId="5261A500" w14:textId="77777777" w:rsidR="005D5796" w:rsidRDefault="00000000">
      <w:pPr>
        <w:spacing w:line="360" w:lineRule="auto"/>
        <w:rPr>
          <w:rFonts w:hint="eastAsia"/>
          <w:spacing w:val="-16"/>
          <w:sz w:val="28"/>
        </w:rPr>
      </w:pPr>
      <w:r>
        <w:rPr>
          <w:rFonts w:hint="eastAsia"/>
          <w:spacing w:val="-16"/>
          <w:sz w:val="28"/>
        </w:rPr>
        <w:t>（3）对于已到基本学制最后一年的硕博研究生申请国家奖学金，需在评定之前已修完个人培养计划规定的全部学分，且已满足所在学位点申请学位所需的学术成果条件。</w:t>
      </w:r>
    </w:p>
    <w:p w14:paraId="4F462C11" w14:textId="77777777" w:rsidR="005D5796" w:rsidRDefault="00000000">
      <w:pPr>
        <w:spacing w:line="360" w:lineRule="auto"/>
        <w:rPr>
          <w:rFonts w:hint="eastAsia"/>
          <w:spacing w:val="-16"/>
          <w:sz w:val="28"/>
        </w:rPr>
      </w:pPr>
      <w:r>
        <w:rPr>
          <w:rFonts w:hint="eastAsia"/>
          <w:spacing w:val="-16"/>
          <w:sz w:val="28"/>
        </w:rPr>
        <w:t>（4）所有成果第一作者署名单位须为浙江工业大学。</w:t>
      </w:r>
    </w:p>
    <w:p w14:paraId="1E3E800E" w14:textId="77777777" w:rsidR="005D5796" w:rsidRDefault="00000000">
      <w:pPr>
        <w:spacing w:line="360" w:lineRule="auto"/>
        <w:rPr>
          <w:rFonts w:hint="eastAsia"/>
          <w:spacing w:val="-16"/>
          <w:sz w:val="28"/>
        </w:rPr>
      </w:pPr>
      <w:r>
        <w:rPr>
          <w:rFonts w:hint="eastAsia"/>
          <w:spacing w:val="-16"/>
          <w:sz w:val="28"/>
          <w:lang w:val="en-US"/>
        </w:rPr>
        <w:t>3、</w:t>
      </w:r>
      <w:r>
        <w:rPr>
          <w:rFonts w:hint="eastAsia"/>
          <w:spacing w:val="-16"/>
          <w:sz w:val="28"/>
        </w:rPr>
        <w:t>审核。学院评审委员会根据评审条件对申报者进行初审，拟定候选名单并进行公示。</w:t>
      </w:r>
    </w:p>
    <w:p w14:paraId="026CFB17" w14:textId="77777777" w:rsidR="005D5796" w:rsidRDefault="00000000">
      <w:pPr>
        <w:spacing w:line="360" w:lineRule="auto"/>
        <w:rPr>
          <w:rFonts w:hint="eastAsia"/>
          <w:spacing w:val="-16"/>
          <w:sz w:val="28"/>
        </w:rPr>
      </w:pPr>
      <w:r>
        <w:rPr>
          <w:rFonts w:hint="eastAsia"/>
          <w:spacing w:val="-16"/>
          <w:sz w:val="28"/>
          <w:lang w:val="en-US"/>
        </w:rPr>
        <w:t>4、</w:t>
      </w:r>
      <w:r>
        <w:rPr>
          <w:rFonts w:hint="eastAsia"/>
          <w:spacing w:val="-16"/>
          <w:sz w:val="28"/>
        </w:rPr>
        <w:t>评定。在学生申请的基础上，学院研究生国家奖学金评审委员会审核申报者的材料,对每一位申请者的综合测评、学术研究能力分别进行计分。研究生国家奖学金评审委员会召开评定会议，结合申请学生的申报材料和得分情况进行差额评选，讨论研究确定国家奖学金推荐名单：</w:t>
      </w:r>
    </w:p>
    <w:p w14:paraId="06C2BDA0" w14:textId="77777777" w:rsidR="005D5796" w:rsidRDefault="00000000">
      <w:pPr>
        <w:spacing w:line="360" w:lineRule="auto"/>
        <w:rPr>
          <w:rFonts w:hint="eastAsia"/>
          <w:spacing w:val="-16"/>
          <w:sz w:val="28"/>
        </w:rPr>
      </w:pPr>
      <w:r>
        <w:rPr>
          <w:rFonts w:hint="eastAsia"/>
          <w:spacing w:val="-16"/>
          <w:sz w:val="28"/>
        </w:rPr>
        <w:t>研究生国家奖学金总分=研究生综合测评分*60%+学术研究能力分*40%；</w:t>
      </w:r>
    </w:p>
    <w:p w14:paraId="191F89C5" w14:textId="77777777" w:rsidR="005D5796" w:rsidRDefault="00000000">
      <w:pPr>
        <w:spacing w:line="360" w:lineRule="auto"/>
        <w:rPr>
          <w:rFonts w:hint="eastAsia"/>
          <w:spacing w:val="-16"/>
          <w:sz w:val="28"/>
        </w:rPr>
      </w:pPr>
      <w:r>
        <w:rPr>
          <w:rFonts w:hint="eastAsia"/>
          <w:spacing w:val="-16"/>
          <w:sz w:val="28"/>
        </w:rPr>
        <w:t>其中研究生学术研究能力分计算细则见附件。</w:t>
      </w:r>
    </w:p>
    <w:p w14:paraId="39B6769C" w14:textId="77777777" w:rsidR="005D5796" w:rsidRDefault="00000000">
      <w:pPr>
        <w:spacing w:line="360" w:lineRule="auto"/>
        <w:rPr>
          <w:rFonts w:hint="eastAsia"/>
          <w:spacing w:val="-16"/>
          <w:sz w:val="28"/>
        </w:rPr>
      </w:pPr>
      <w:r>
        <w:rPr>
          <w:rFonts w:hint="eastAsia"/>
          <w:spacing w:val="-16"/>
          <w:sz w:val="28"/>
          <w:lang w:val="en-US"/>
        </w:rPr>
        <w:t>5、</w:t>
      </w:r>
      <w:r>
        <w:rPr>
          <w:rFonts w:hint="eastAsia"/>
          <w:spacing w:val="-16"/>
          <w:sz w:val="28"/>
        </w:rPr>
        <w:t>学院公示并上报。学院评审结果在院内公示不少于5个工作日；学院公示无异议后将结果上报研工部。</w:t>
      </w:r>
    </w:p>
    <w:p w14:paraId="70B1FC22" w14:textId="77777777" w:rsidR="005D5796" w:rsidRDefault="00000000">
      <w:pPr>
        <w:spacing w:line="360" w:lineRule="auto"/>
        <w:rPr>
          <w:rFonts w:hint="eastAsia"/>
          <w:spacing w:val="-16"/>
          <w:sz w:val="28"/>
        </w:rPr>
      </w:pPr>
      <w:r>
        <w:rPr>
          <w:rFonts w:hint="eastAsia"/>
          <w:spacing w:val="-16"/>
          <w:sz w:val="28"/>
          <w:lang w:val="en-US"/>
        </w:rPr>
        <w:t>6、</w:t>
      </w:r>
      <w:r>
        <w:rPr>
          <w:rFonts w:hint="eastAsia"/>
          <w:spacing w:val="-16"/>
          <w:sz w:val="28"/>
        </w:rPr>
        <w:t>学校审核、公示并上报。研工部汇总并审核各学院申报的国家奖学金名单，报学校领导小组审定，并将确定名单向全校师生公示不少于5个工作日。将公示无异议的国家奖学金获得者名单和材料上报教育厅。</w:t>
      </w:r>
    </w:p>
    <w:p w14:paraId="1ADC30F4" w14:textId="77777777" w:rsidR="005D5796" w:rsidRDefault="00000000">
      <w:pPr>
        <w:spacing w:line="360" w:lineRule="auto"/>
        <w:rPr>
          <w:rFonts w:hint="eastAsia"/>
          <w:spacing w:val="-16"/>
          <w:sz w:val="28"/>
        </w:rPr>
      </w:pPr>
      <w:r>
        <w:rPr>
          <w:rFonts w:hint="eastAsia"/>
          <w:spacing w:val="-16"/>
          <w:sz w:val="28"/>
          <w:lang w:val="en-US"/>
        </w:rPr>
        <w:t>7、</w:t>
      </w:r>
      <w:r>
        <w:rPr>
          <w:rFonts w:hint="eastAsia"/>
          <w:spacing w:val="-16"/>
          <w:sz w:val="28"/>
        </w:rPr>
        <w:t>对评审结果有异议的学生及相关人员，可在学院公示阶段向评审委员会提出申诉，评审委员会将研究并予以答复。如申诉人对学院作出的答复仍存在异议，可在学校公示阶段向研究生国家奖学金评审领导小组提请裁决。</w:t>
      </w:r>
    </w:p>
    <w:p w14:paraId="299C89C1" w14:textId="77777777" w:rsidR="005D5796" w:rsidRDefault="00000000">
      <w:pPr>
        <w:pStyle w:val="1"/>
        <w:spacing w:line="360" w:lineRule="auto"/>
        <w:ind w:left="0"/>
        <w:rPr>
          <w:rFonts w:hint="eastAsia"/>
        </w:rPr>
      </w:pPr>
      <w:r>
        <w:lastRenderedPageBreak/>
        <w:t>五、附则</w:t>
      </w:r>
    </w:p>
    <w:p w14:paraId="6493FB15" w14:textId="77777777" w:rsidR="005D5796" w:rsidRDefault="00000000">
      <w:pPr>
        <w:spacing w:line="360" w:lineRule="auto"/>
        <w:rPr>
          <w:rFonts w:hint="eastAsia"/>
          <w:spacing w:val="-16"/>
          <w:sz w:val="28"/>
        </w:rPr>
      </w:pPr>
      <w:r>
        <w:rPr>
          <w:rFonts w:hint="eastAsia"/>
          <w:spacing w:val="-16"/>
          <w:sz w:val="28"/>
        </w:rPr>
        <w:t>1、如有弄虚作假行为，一经发现查实，取消该生获奖资格，追回所获得的奖金，并按学校相关规定进行处理。</w:t>
      </w:r>
    </w:p>
    <w:p w14:paraId="5EBCA1EF" w14:textId="77777777" w:rsidR="005D5796" w:rsidRDefault="00000000">
      <w:pPr>
        <w:spacing w:line="360" w:lineRule="auto"/>
        <w:rPr>
          <w:rFonts w:hint="eastAsia"/>
          <w:spacing w:val="-16"/>
          <w:sz w:val="28"/>
        </w:rPr>
      </w:pPr>
      <w:r>
        <w:rPr>
          <w:rFonts w:hint="eastAsia"/>
          <w:spacing w:val="-16"/>
          <w:sz w:val="28"/>
        </w:rPr>
        <w:t>2、本办法由浙江工业大学计算机科学与技术学院负责解释。</w:t>
      </w:r>
    </w:p>
    <w:p w14:paraId="6F445783" w14:textId="77777777" w:rsidR="005D5796" w:rsidRDefault="00000000">
      <w:pPr>
        <w:rPr>
          <w:rFonts w:hint="eastAsia"/>
          <w:spacing w:val="-16"/>
          <w:sz w:val="28"/>
        </w:rPr>
      </w:pPr>
      <w:r>
        <w:rPr>
          <w:rFonts w:hint="eastAsia"/>
          <w:spacing w:val="-16"/>
          <w:sz w:val="28"/>
        </w:rPr>
        <w:br w:type="page"/>
      </w:r>
    </w:p>
    <w:p w14:paraId="129E098C" w14:textId="77777777" w:rsidR="005D5796" w:rsidRDefault="00000000">
      <w:pPr>
        <w:spacing w:line="360" w:lineRule="auto"/>
        <w:jc w:val="center"/>
        <w:rPr>
          <w:rFonts w:hint="eastAsia"/>
          <w:sz w:val="28"/>
        </w:rPr>
      </w:pPr>
      <w:r>
        <w:rPr>
          <w:rFonts w:hint="eastAsia"/>
          <w:sz w:val="28"/>
        </w:rPr>
        <w:lastRenderedPageBreak/>
        <w:t>附件：计算机学院研究生学术研究能力加分细则</w:t>
      </w:r>
    </w:p>
    <w:tbl>
      <w:tblPr>
        <w:tblW w:w="8958" w:type="dxa"/>
        <w:jc w:val="center"/>
        <w:tblCellMar>
          <w:top w:w="15" w:type="dxa"/>
        </w:tblCellMar>
        <w:tblLook w:val="04A0" w:firstRow="1" w:lastRow="0" w:firstColumn="1" w:lastColumn="0" w:noHBand="0" w:noVBand="1"/>
      </w:tblPr>
      <w:tblGrid>
        <w:gridCol w:w="1544"/>
        <w:gridCol w:w="3390"/>
        <w:gridCol w:w="3788"/>
        <w:gridCol w:w="236"/>
      </w:tblGrid>
      <w:tr w:rsidR="005D5796" w14:paraId="4ED34259" w14:textId="77777777">
        <w:trPr>
          <w:gridAfter w:val="1"/>
          <w:wAfter w:w="236" w:type="dxa"/>
          <w:trHeight w:val="551"/>
          <w:jc w:val="center"/>
        </w:trPr>
        <w:tc>
          <w:tcPr>
            <w:tcW w:w="1544" w:type="dxa"/>
            <w:tcBorders>
              <w:top w:val="single" w:sz="4" w:space="0" w:color="auto"/>
              <w:left w:val="single" w:sz="4" w:space="0" w:color="auto"/>
              <w:bottom w:val="single" w:sz="4" w:space="0" w:color="auto"/>
              <w:right w:val="single" w:sz="4" w:space="0" w:color="auto"/>
            </w:tcBorders>
            <w:vAlign w:val="center"/>
          </w:tcPr>
          <w:p w14:paraId="59328B32" w14:textId="77777777" w:rsidR="005D5796" w:rsidRDefault="00000000">
            <w:pPr>
              <w:widowControl/>
              <w:spacing w:line="360" w:lineRule="auto"/>
              <w:jc w:val="center"/>
              <w:rPr>
                <w:rFonts w:ascii="仿宋_GB2312" w:hAnsi="等线" w:hint="eastAsia"/>
                <w:b/>
                <w:bCs/>
                <w:sz w:val="30"/>
                <w:szCs w:val="30"/>
              </w:rPr>
            </w:pPr>
            <w:r>
              <w:rPr>
                <w:rFonts w:ascii="仿宋_GB2312" w:hAnsi="等线" w:hint="eastAsia"/>
                <w:b/>
                <w:bCs/>
                <w:sz w:val="30"/>
                <w:szCs w:val="30"/>
              </w:rPr>
              <w:t>分值</w:t>
            </w:r>
          </w:p>
        </w:tc>
        <w:tc>
          <w:tcPr>
            <w:tcW w:w="3390" w:type="dxa"/>
            <w:tcBorders>
              <w:top w:val="single" w:sz="4" w:space="0" w:color="auto"/>
              <w:left w:val="nil"/>
              <w:bottom w:val="single" w:sz="4" w:space="0" w:color="auto"/>
              <w:right w:val="single" w:sz="4" w:space="0" w:color="auto"/>
            </w:tcBorders>
            <w:vAlign w:val="center"/>
          </w:tcPr>
          <w:p w14:paraId="5A4FD892" w14:textId="77777777" w:rsidR="005D5796" w:rsidRDefault="00000000">
            <w:pPr>
              <w:widowControl/>
              <w:spacing w:line="360" w:lineRule="auto"/>
              <w:jc w:val="center"/>
              <w:rPr>
                <w:rFonts w:ascii="仿宋_GB2312" w:hAnsi="等线" w:hint="eastAsia"/>
                <w:b/>
                <w:bCs/>
                <w:sz w:val="30"/>
                <w:szCs w:val="30"/>
              </w:rPr>
            </w:pPr>
            <w:r>
              <w:rPr>
                <w:rFonts w:ascii="仿宋_GB2312" w:hAnsi="等线" w:hint="eastAsia"/>
                <w:b/>
                <w:bCs/>
                <w:sz w:val="30"/>
                <w:szCs w:val="30"/>
              </w:rPr>
              <w:t>论文</w:t>
            </w:r>
          </w:p>
        </w:tc>
        <w:tc>
          <w:tcPr>
            <w:tcW w:w="3788" w:type="dxa"/>
            <w:tcBorders>
              <w:top w:val="single" w:sz="4" w:space="0" w:color="auto"/>
              <w:left w:val="nil"/>
              <w:bottom w:val="single" w:sz="4" w:space="0" w:color="auto"/>
              <w:right w:val="single" w:sz="4" w:space="0" w:color="auto"/>
            </w:tcBorders>
            <w:vAlign w:val="center"/>
          </w:tcPr>
          <w:p w14:paraId="3F5F13E1" w14:textId="77777777" w:rsidR="005D5796" w:rsidRDefault="00000000">
            <w:pPr>
              <w:widowControl/>
              <w:spacing w:line="360" w:lineRule="auto"/>
              <w:jc w:val="center"/>
              <w:rPr>
                <w:rFonts w:ascii="仿宋_GB2312" w:hAnsi="等线" w:hint="eastAsia"/>
                <w:b/>
                <w:bCs/>
                <w:sz w:val="30"/>
                <w:szCs w:val="30"/>
              </w:rPr>
            </w:pPr>
            <w:r>
              <w:rPr>
                <w:rFonts w:ascii="仿宋_GB2312" w:hAnsi="等线" w:hint="eastAsia"/>
                <w:b/>
                <w:bCs/>
                <w:sz w:val="30"/>
                <w:szCs w:val="30"/>
              </w:rPr>
              <w:t>科技竞赛</w:t>
            </w:r>
          </w:p>
        </w:tc>
      </w:tr>
      <w:tr w:rsidR="005D5796" w14:paraId="509EC0A8" w14:textId="77777777">
        <w:trPr>
          <w:gridAfter w:val="1"/>
          <w:wAfter w:w="236" w:type="dxa"/>
          <w:trHeight w:val="551"/>
          <w:jc w:val="center"/>
        </w:trPr>
        <w:tc>
          <w:tcPr>
            <w:tcW w:w="1544" w:type="dxa"/>
            <w:vMerge w:val="restart"/>
            <w:tcBorders>
              <w:top w:val="single" w:sz="4" w:space="0" w:color="auto"/>
              <w:left w:val="single" w:sz="4" w:space="0" w:color="auto"/>
              <w:right w:val="single" w:sz="4" w:space="0" w:color="auto"/>
            </w:tcBorders>
            <w:vAlign w:val="center"/>
          </w:tcPr>
          <w:p w14:paraId="6C142C33" w14:textId="77777777" w:rsidR="005D5796" w:rsidRDefault="00000000">
            <w:pPr>
              <w:widowControl/>
              <w:tabs>
                <w:tab w:val="left" w:pos="963"/>
              </w:tabs>
              <w:spacing w:line="360" w:lineRule="auto"/>
              <w:jc w:val="center"/>
              <w:rPr>
                <w:rFonts w:hint="eastAsia"/>
                <w:sz w:val="28"/>
                <w:szCs w:val="28"/>
              </w:rPr>
            </w:pPr>
            <w:r>
              <w:rPr>
                <w:rFonts w:hint="eastAsia"/>
                <w:sz w:val="28"/>
                <w:szCs w:val="28"/>
              </w:rPr>
              <w:t>100</w:t>
            </w:r>
          </w:p>
        </w:tc>
        <w:tc>
          <w:tcPr>
            <w:tcW w:w="3390" w:type="dxa"/>
            <w:vMerge w:val="restart"/>
            <w:tcBorders>
              <w:top w:val="single" w:sz="4" w:space="0" w:color="auto"/>
              <w:left w:val="nil"/>
              <w:right w:val="single" w:sz="4" w:space="0" w:color="auto"/>
            </w:tcBorders>
            <w:vAlign w:val="center"/>
          </w:tcPr>
          <w:p w14:paraId="3F9C362A" w14:textId="77777777" w:rsidR="005D5796" w:rsidRPr="00B7403B" w:rsidRDefault="00000000">
            <w:pPr>
              <w:widowControl/>
              <w:tabs>
                <w:tab w:val="left" w:pos="963"/>
              </w:tabs>
              <w:spacing w:line="360" w:lineRule="auto"/>
              <w:jc w:val="center"/>
              <w:rPr>
                <w:rFonts w:hint="eastAsia"/>
                <w:sz w:val="28"/>
                <w:szCs w:val="28"/>
                <w:lang w:val="en-US"/>
              </w:rPr>
            </w:pPr>
            <w:r w:rsidRPr="00B7403B">
              <w:rPr>
                <w:rFonts w:hint="eastAsia"/>
                <w:sz w:val="28"/>
                <w:szCs w:val="28"/>
                <w:lang w:val="en-US"/>
              </w:rPr>
              <w:t xml:space="preserve">SCIENCE </w:t>
            </w:r>
            <w:r>
              <w:rPr>
                <w:rFonts w:hint="eastAsia"/>
                <w:sz w:val="28"/>
                <w:szCs w:val="28"/>
              </w:rPr>
              <w:t>及子刊</w:t>
            </w:r>
          </w:p>
          <w:p w14:paraId="23149090" w14:textId="77777777" w:rsidR="005D5796" w:rsidRPr="00B7403B" w:rsidRDefault="00000000">
            <w:pPr>
              <w:widowControl/>
              <w:tabs>
                <w:tab w:val="left" w:pos="963"/>
              </w:tabs>
              <w:spacing w:line="360" w:lineRule="auto"/>
              <w:jc w:val="center"/>
              <w:rPr>
                <w:rFonts w:hint="eastAsia"/>
                <w:sz w:val="28"/>
                <w:szCs w:val="28"/>
                <w:lang w:val="en-US"/>
              </w:rPr>
            </w:pPr>
            <w:r w:rsidRPr="00B7403B">
              <w:rPr>
                <w:rFonts w:hint="eastAsia"/>
                <w:sz w:val="28"/>
                <w:szCs w:val="28"/>
                <w:lang w:val="en-US"/>
              </w:rPr>
              <w:t xml:space="preserve">NATURE </w:t>
            </w:r>
            <w:r>
              <w:rPr>
                <w:rFonts w:hint="eastAsia"/>
                <w:sz w:val="28"/>
                <w:szCs w:val="28"/>
              </w:rPr>
              <w:t>及子刊</w:t>
            </w:r>
          </w:p>
        </w:tc>
        <w:tc>
          <w:tcPr>
            <w:tcW w:w="3788" w:type="dxa"/>
            <w:tcBorders>
              <w:top w:val="single" w:sz="4" w:space="0" w:color="auto"/>
              <w:left w:val="nil"/>
              <w:bottom w:val="single" w:sz="4" w:space="0" w:color="auto"/>
              <w:right w:val="single" w:sz="4" w:space="0" w:color="auto"/>
            </w:tcBorders>
            <w:vAlign w:val="center"/>
          </w:tcPr>
          <w:p w14:paraId="41EF010C" w14:textId="4A37B3BA" w:rsidR="005D5796" w:rsidRDefault="00000000">
            <w:pPr>
              <w:widowControl/>
              <w:spacing w:line="360" w:lineRule="auto"/>
              <w:jc w:val="center"/>
              <w:rPr>
                <w:rFonts w:hint="eastAsia"/>
                <w:sz w:val="28"/>
                <w:szCs w:val="28"/>
              </w:rPr>
            </w:pPr>
            <w:r>
              <w:rPr>
                <w:rFonts w:hint="eastAsia"/>
                <w:sz w:val="28"/>
                <w:szCs w:val="28"/>
                <w:lang w:val="en-US"/>
              </w:rPr>
              <w:t>大创赛</w:t>
            </w:r>
            <w:r>
              <w:rPr>
                <w:rFonts w:hint="eastAsia"/>
                <w:sz w:val="28"/>
                <w:szCs w:val="28"/>
              </w:rPr>
              <w:t>国家级金奖</w:t>
            </w:r>
          </w:p>
        </w:tc>
      </w:tr>
      <w:tr w:rsidR="005D5796" w14:paraId="233E5488" w14:textId="77777777">
        <w:trPr>
          <w:gridAfter w:val="1"/>
          <w:wAfter w:w="236" w:type="dxa"/>
          <w:trHeight w:val="551"/>
          <w:jc w:val="center"/>
        </w:trPr>
        <w:tc>
          <w:tcPr>
            <w:tcW w:w="1544" w:type="dxa"/>
            <w:vMerge/>
            <w:tcBorders>
              <w:left w:val="single" w:sz="4" w:space="0" w:color="auto"/>
              <w:bottom w:val="single" w:sz="4" w:space="0" w:color="auto"/>
              <w:right w:val="single" w:sz="4" w:space="0" w:color="auto"/>
            </w:tcBorders>
            <w:vAlign w:val="center"/>
          </w:tcPr>
          <w:p w14:paraId="60D399BE" w14:textId="77777777" w:rsidR="005D5796" w:rsidRDefault="005D5796">
            <w:pPr>
              <w:widowControl/>
              <w:tabs>
                <w:tab w:val="left" w:pos="963"/>
              </w:tabs>
              <w:spacing w:line="360" w:lineRule="auto"/>
              <w:jc w:val="center"/>
              <w:rPr>
                <w:rFonts w:hint="eastAsia"/>
                <w:sz w:val="28"/>
                <w:szCs w:val="28"/>
              </w:rPr>
            </w:pPr>
          </w:p>
        </w:tc>
        <w:tc>
          <w:tcPr>
            <w:tcW w:w="3390" w:type="dxa"/>
            <w:vMerge/>
            <w:tcBorders>
              <w:left w:val="nil"/>
              <w:bottom w:val="single" w:sz="4" w:space="0" w:color="auto"/>
              <w:right w:val="single" w:sz="4" w:space="0" w:color="auto"/>
            </w:tcBorders>
            <w:vAlign w:val="center"/>
          </w:tcPr>
          <w:p w14:paraId="2EA14728" w14:textId="77777777" w:rsidR="005D5796" w:rsidRDefault="005D5796">
            <w:pPr>
              <w:widowControl/>
              <w:tabs>
                <w:tab w:val="left" w:pos="963"/>
              </w:tabs>
              <w:spacing w:line="360" w:lineRule="auto"/>
              <w:jc w:val="center"/>
              <w:rPr>
                <w:rFonts w:hint="eastAsia"/>
                <w:sz w:val="28"/>
                <w:szCs w:val="28"/>
              </w:rPr>
            </w:pPr>
          </w:p>
        </w:tc>
        <w:tc>
          <w:tcPr>
            <w:tcW w:w="3788" w:type="dxa"/>
            <w:tcBorders>
              <w:top w:val="single" w:sz="4" w:space="0" w:color="auto"/>
              <w:left w:val="nil"/>
              <w:bottom w:val="single" w:sz="4" w:space="0" w:color="auto"/>
              <w:right w:val="single" w:sz="4" w:space="0" w:color="auto"/>
            </w:tcBorders>
            <w:vAlign w:val="center"/>
          </w:tcPr>
          <w:p w14:paraId="550C6F92" w14:textId="77777777" w:rsidR="005D5796" w:rsidRDefault="00000000">
            <w:pPr>
              <w:widowControl/>
              <w:spacing w:line="360" w:lineRule="auto"/>
              <w:jc w:val="center"/>
              <w:rPr>
                <w:rFonts w:hint="eastAsia"/>
                <w:sz w:val="28"/>
                <w:szCs w:val="28"/>
              </w:rPr>
            </w:pPr>
            <w:r>
              <w:rPr>
                <w:rFonts w:hint="eastAsia"/>
                <w:sz w:val="28"/>
                <w:szCs w:val="28"/>
              </w:rPr>
              <w:t>挑战杯全国一等奖（金奖）</w:t>
            </w:r>
          </w:p>
        </w:tc>
      </w:tr>
      <w:tr w:rsidR="005D5796" w14:paraId="4912E255" w14:textId="77777777">
        <w:trPr>
          <w:gridAfter w:val="1"/>
          <w:wAfter w:w="236" w:type="dxa"/>
          <w:trHeight w:val="541"/>
          <w:jc w:val="center"/>
        </w:trPr>
        <w:tc>
          <w:tcPr>
            <w:tcW w:w="1544" w:type="dxa"/>
            <w:vMerge w:val="restart"/>
            <w:tcBorders>
              <w:top w:val="nil"/>
              <w:left w:val="single" w:sz="4" w:space="0" w:color="auto"/>
              <w:bottom w:val="single" w:sz="4" w:space="0" w:color="auto"/>
              <w:right w:val="single" w:sz="4" w:space="0" w:color="auto"/>
            </w:tcBorders>
            <w:vAlign w:val="center"/>
          </w:tcPr>
          <w:p w14:paraId="07A78832" w14:textId="77777777" w:rsidR="005D5796" w:rsidRDefault="00000000">
            <w:pPr>
              <w:widowControl/>
              <w:tabs>
                <w:tab w:val="left" w:pos="963"/>
              </w:tabs>
              <w:spacing w:line="360" w:lineRule="auto"/>
              <w:jc w:val="center"/>
              <w:rPr>
                <w:rFonts w:hint="eastAsia"/>
                <w:sz w:val="28"/>
                <w:szCs w:val="28"/>
              </w:rPr>
            </w:pPr>
            <w:r>
              <w:rPr>
                <w:rFonts w:hint="eastAsia"/>
                <w:sz w:val="28"/>
                <w:szCs w:val="28"/>
              </w:rPr>
              <w:t>50</w:t>
            </w:r>
          </w:p>
        </w:tc>
        <w:tc>
          <w:tcPr>
            <w:tcW w:w="3390" w:type="dxa"/>
            <w:vMerge w:val="restart"/>
            <w:tcBorders>
              <w:top w:val="nil"/>
              <w:left w:val="single" w:sz="4" w:space="0" w:color="auto"/>
              <w:bottom w:val="single" w:sz="4" w:space="0" w:color="auto"/>
              <w:right w:val="single" w:sz="4" w:space="0" w:color="auto"/>
            </w:tcBorders>
            <w:vAlign w:val="center"/>
          </w:tcPr>
          <w:p w14:paraId="1750FC2D" w14:textId="77777777" w:rsidR="005D5796" w:rsidRDefault="00000000">
            <w:pPr>
              <w:widowControl/>
              <w:tabs>
                <w:tab w:val="left" w:pos="963"/>
              </w:tabs>
              <w:spacing w:line="360" w:lineRule="auto"/>
              <w:jc w:val="center"/>
              <w:rPr>
                <w:rFonts w:hint="eastAsia"/>
                <w:sz w:val="28"/>
                <w:szCs w:val="28"/>
              </w:rPr>
            </w:pPr>
            <w:r>
              <w:rPr>
                <w:rFonts w:hint="eastAsia"/>
                <w:sz w:val="28"/>
                <w:szCs w:val="28"/>
              </w:rPr>
              <w:t>CCF推荐A类国际期刊</w:t>
            </w:r>
          </w:p>
          <w:p w14:paraId="4E44A010" w14:textId="77777777" w:rsidR="005D5796" w:rsidRDefault="00000000">
            <w:pPr>
              <w:widowControl/>
              <w:tabs>
                <w:tab w:val="left" w:pos="963"/>
              </w:tabs>
              <w:spacing w:line="360" w:lineRule="auto"/>
              <w:jc w:val="center"/>
              <w:rPr>
                <w:rFonts w:hint="eastAsia"/>
                <w:sz w:val="28"/>
                <w:szCs w:val="28"/>
              </w:rPr>
            </w:pPr>
            <w:r>
              <w:rPr>
                <w:rFonts w:hint="eastAsia"/>
                <w:sz w:val="28"/>
                <w:szCs w:val="28"/>
              </w:rPr>
              <w:t>CCF推荐A类</w:t>
            </w:r>
            <w:r>
              <w:rPr>
                <w:rFonts w:hint="eastAsia"/>
                <w:sz w:val="28"/>
                <w:szCs w:val="28"/>
                <w:lang w:val="en-US"/>
              </w:rPr>
              <w:t>国际</w:t>
            </w:r>
            <w:r>
              <w:rPr>
                <w:rFonts w:hint="eastAsia"/>
                <w:sz w:val="28"/>
                <w:szCs w:val="28"/>
              </w:rPr>
              <w:t>会议</w:t>
            </w:r>
          </w:p>
          <w:p w14:paraId="1B45C671" w14:textId="77777777" w:rsidR="005D5796" w:rsidRDefault="00000000">
            <w:pPr>
              <w:widowControl/>
              <w:tabs>
                <w:tab w:val="left" w:pos="963"/>
              </w:tabs>
              <w:spacing w:line="360" w:lineRule="auto"/>
              <w:jc w:val="center"/>
              <w:rPr>
                <w:rFonts w:hint="eastAsia"/>
                <w:sz w:val="28"/>
                <w:szCs w:val="28"/>
              </w:rPr>
            </w:pPr>
            <w:r>
              <w:rPr>
                <w:rFonts w:hint="eastAsia"/>
                <w:sz w:val="28"/>
                <w:szCs w:val="28"/>
              </w:rPr>
              <w:t>ZJUTTOP</w:t>
            </w:r>
            <w:r>
              <w:rPr>
                <w:rFonts w:hint="eastAsia"/>
                <w:sz w:val="28"/>
                <w:szCs w:val="28"/>
                <w:lang w:val="en-US"/>
              </w:rPr>
              <w:t xml:space="preserve"> </w:t>
            </w:r>
            <w:r>
              <w:rPr>
                <w:rFonts w:hint="eastAsia"/>
                <w:sz w:val="28"/>
                <w:szCs w:val="28"/>
              </w:rPr>
              <w:t>100</w:t>
            </w:r>
          </w:p>
        </w:tc>
        <w:tc>
          <w:tcPr>
            <w:tcW w:w="3788" w:type="dxa"/>
            <w:tcBorders>
              <w:top w:val="nil"/>
              <w:left w:val="nil"/>
              <w:bottom w:val="single" w:sz="4" w:space="0" w:color="auto"/>
              <w:right w:val="single" w:sz="4" w:space="0" w:color="auto"/>
            </w:tcBorders>
            <w:vAlign w:val="center"/>
          </w:tcPr>
          <w:p w14:paraId="502DC7CE" w14:textId="73875AD6" w:rsidR="005D5796" w:rsidRDefault="00000000">
            <w:pPr>
              <w:widowControl/>
              <w:spacing w:line="360" w:lineRule="auto"/>
              <w:jc w:val="center"/>
              <w:rPr>
                <w:rFonts w:hint="eastAsia"/>
                <w:sz w:val="28"/>
                <w:szCs w:val="28"/>
              </w:rPr>
            </w:pPr>
            <w:r>
              <w:rPr>
                <w:rFonts w:hint="eastAsia"/>
                <w:sz w:val="28"/>
                <w:szCs w:val="28"/>
                <w:lang w:val="en-US"/>
              </w:rPr>
              <w:t>大创赛</w:t>
            </w:r>
            <w:r>
              <w:rPr>
                <w:rFonts w:hint="eastAsia"/>
                <w:sz w:val="28"/>
                <w:szCs w:val="28"/>
              </w:rPr>
              <w:t>国家级银奖</w:t>
            </w:r>
          </w:p>
        </w:tc>
      </w:tr>
      <w:tr w:rsidR="005D5796" w14:paraId="539353F6" w14:textId="77777777">
        <w:trPr>
          <w:gridAfter w:val="1"/>
          <w:wAfter w:w="236" w:type="dxa"/>
          <w:trHeight w:val="1051"/>
          <w:jc w:val="center"/>
        </w:trPr>
        <w:tc>
          <w:tcPr>
            <w:tcW w:w="1544" w:type="dxa"/>
            <w:vMerge/>
            <w:tcBorders>
              <w:top w:val="nil"/>
              <w:left w:val="single" w:sz="4" w:space="0" w:color="auto"/>
              <w:bottom w:val="single" w:sz="4" w:space="0" w:color="auto"/>
              <w:right w:val="single" w:sz="4" w:space="0" w:color="auto"/>
            </w:tcBorders>
            <w:vAlign w:val="center"/>
          </w:tcPr>
          <w:p w14:paraId="213AE617" w14:textId="77777777" w:rsidR="005D5796" w:rsidRDefault="005D5796">
            <w:pPr>
              <w:widowControl/>
              <w:tabs>
                <w:tab w:val="left" w:pos="963"/>
              </w:tabs>
              <w:spacing w:line="360" w:lineRule="auto"/>
              <w:jc w:val="center"/>
              <w:rPr>
                <w:rFonts w:hint="eastAsia"/>
                <w:sz w:val="28"/>
                <w:szCs w:val="28"/>
              </w:rPr>
            </w:pPr>
          </w:p>
        </w:tc>
        <w:tc>
          <w:tcPr>
            <w:tcW w:w="3390" w:type="dxa"/>
            <w:vMerge/>
            <w:tcBorders>
              <w:top w:val="nil"/>
              <w:left w:val="single" w:sz="4" w:space="0" w:color="auto"/>
              <w:bottom w:val="single" w:sz="4" w:space="0" w:color="auto"/>
              <w:right w:val="single" w:sz="4" w:space="0" w:color="auto"/>
            </w:tcBorders>
            <w:vAlign w:val="center"/>
          </w:tcPr>
          <w:p w14:paraId="23F9C3B8" w14:textId="77777777" w:rsidR="005D5796" w:rsidRDefault="005D5796">
            <w:pPr>
              <w:widowControl/>
              <w:tabs>
                <w:tab w:val="left" w:pos="963"/>
              </w:tabs>
              <w:spacing w:line="360" w:lineRule="auto"/>
              <w:jc w:val="center"/>
              <w:rPr>
                <w:rFonts w:hint="eastAsia"/>
                <w:sz w:val="28"/>
                <w:szCs w:val="28"/>
              </w:rPr>
            </w:pPr>
          </w:p>
        </w:tc>
        <w:tc>
          <w:tcPr>
            <w:tcW w:w="3788" w:type="dxa"/>
            <w:tcBorders>
              <w:top w:val="nil"/>
              <w:left w:val="nil"/>
              <w:bottom w:val="single" w:sz="4" w:space="0" w:color="auto"/>
              <w:right w:val="single" w:sz="4" w:space="0" w:color="auto"/>
            </w:tcBorders>
            <w:vAlign w:val="center"/>
          </w:tcPr>
          <w:p w14:paraId="5EF55080" w14:textId="77777777" w:rsidR="005D5796" w:rsidRDefault="00000000">
            <w:pPr>
              <w:widowControl/>
              <w:spacing w:line="360" w:lineRule="auto"/>
              <w:jc w:val="center"/>
              <w:rPr>
                <w:rFonts w:hint="eastAsia"/>
                <w:sz w:val="28"/>
                <w:szCs w:val="28"/>
              </w:rPr>
            </w:pPr>
            <w:r>
              <w:rPr>
                <w:rFonts w:hint="eastAsia"/>
                <w:sz w:val="28"/>
                <w:szCs w:val="28"/>
                <w:lang w:val="en-US" w:bidi="ar"/>
              </w:rPr>
              <w:t>挑战杯全国二等奖（银奖）</w:t>
            </w:r>
          </w:p>
        </w:tc>
      </w:tr>
      <w:tr w:rsidR="005D5796" w14:paraId="43500AEA" w14:textId="77777777">
        <w:trPr>
          <w:gridAfter w:val="1"/>
          <w:wAfter w:w="236" w:type="dxa"/>
          <w:trHeight w:val="541"/>
          <w:jc w:val="center"/>
        </w:trPr>
        <w:tc>
          <w:tcPr>
            <w:tcW w:w="1544" w:type="dxa"/>
            <w:vMerge w:val="restart"/>
            <w:tcBorders>
              <w:top w:val="nil"/>
              <w:left w:val="single" w:sz="4" w:space="0" w:color="auto"/>
              <w:bottom w:val="single" w:sz="4" w:space="0" w:color="auto"/>
              <w:right w:val="single" w:sz="4" w:space="0" w:color="auto"/>
            </w:tcBorders>
            <w:vAlign w:val="center"/>
          </w:tcPr>
          <w:p w14:paraId="0B231FF9" w14:textId="77777777" w:rsidR="005D5796" w:rsidRDefault="00000000">
            <w:pPr>
              <w:widowControl/>
              <w:tabs>
                <w:tab w:val="left" w:pos="963"/>
              </w:tabs>
              <w:spacing w:line="360" w:lineRule="auto"/>
              <w:jc w:val="center"/>
              <w:rPr>
                <w:rFonts w:hint="eastAsia"/>
                <w:sz w:val="28"/>
                <w:szCs w:val="28"/>
              </w:rPr>
            </w:pPr>
            <w:r>
              <w:rPr>
                <w:rFonts w:hint="eastAsia"/>
                <w:sz w:val="28"/>
                <w:szCs w:val="28"/>
              </w:rPr>
              <w:t>30</w:t>
            </w:r>
          </w:p>
        </w:tc>
        <w:tc>
          <w:tcPr>
            <w:tcW w:w="3390" w:type="dxa"/>
            <w:vMerge w:val="restart"/>
            <w:tcBorders>
              <w:top w:val="nil"/>
              <w:left w:val="single" w:sz="4" w:space="0" w:color="auto"/>
              <w:bottom w:val="single" w:sz="4" w:space="0" w:color="auto"/>
              <w:right w:val="single" w:sz="4" w:space="0" w:color="auto"/>
            </w:tcBorders>
            <w:vAlign w:val="center"/>
          </w:tcPr>
          <w:p w14:paraId="031C85ED" w14:textId="77777777" w:rsidR="005D5796" w:rsidRDefault="00000000">
            <w:pPr>
              <w:widowControl/>
              <w:tabs>
                <w:tab w:val="left" w:pos="963"/>
              </w:tabs>
              <w:spacing w:line="360" w:lineRule="auto"/>
              <w:jc w:val="center"/>
              <w:rPr>
                <w:rFonts w:hint="eastAsia"/>
                <w:sz w:val="28"/>
                <w:szCs w:val="28"/>
                <w:lang w:val="en-US"/>
              </w:rPr>
            </w:pPr>
            <w:r>
              <w:rPr>
                <w:rFonts w:hint="eastAsia"/>
                <w:sz w:val="28"/>
                <w:szCs w:val="28"/>
                <w:lang w:val="en-US"/>
              </w:rPr>
              <w:t>/</w:t>
            </w:r>
          </w:p>
        </w:tc>
        <w:tc>
          <w:tcPr>
            <w:tcW w:w="3788" w:type="dxa"/>
            <w:tcBorders>
              <w:top w:val="nil"/>
              <w:left w:val="nil"/>
              <w:bottom w:val="single" w:sz="4" w:space="0" w:color="auto"/>
              <w:right w:val="single" w:sz="4" w:space="0" w:color="auto"/>
            </w:tcBorders>
            <w:vAlign w:val="center"/>
          </w:tcPr>
          <w:p w14:paraId="4CA6085B" w14:textId="72C5788E" w:rsidR="005D5796" w:rsidRDefault="00000000">
            <w:pPr>
              <w:widowControl/>
              <w:spacing w:line="360" w:lineRule="auto"/>
              <w:jc w:val="center"/>
              <w:rPr>
                <w:rFonts w:hint="eastAsia"/>
                <w:sz w:val="28"/>
                <w:szCs w:val="28"/>
              </w:rPr>
            </w:pPr>
            <w:r>
              <w:rPr>
                <w:rFonts w:hint="eastAsia"/>
                <w:sz w:val="28"/>
                <w:szCs w:val="28"/>
                <w:lang w:val="en-US"/>
              </w:rPr>
              <w:t>大创赛</w:t>
            </w:r>
            <w:r>
              <w:rPr>
                <w:rFonts w:hint="eastAsia"/>
                <w:sz w:val="28"/>
                <w:szCs w:val="28"/>
              </w:rPr>
              <w:t>国家级铜奖</w:t>
            </w:r>
          </w:p>
        </w:tc>
      </w:tr>
      <w:tr w:rsidR="005D5796" w14:paraId="09E6DBC8" w14:textId="77777777">
        <w:trPr>
          <w:gridAfter w:val="1"/>
          <w:wAfter w:w="236" w:type="dxa"/>
          <w:trHeight w:val="382"/>
          <w:jc w:val="center"/>
        </w:trPr>
        <w:tc>
          <w:tcPr>
            <w:tcW w:w="1544" w:type="dxa"/>
            <w:vMerge/>
            <w:tcBorders>
              <w:top w:val="nil"/>
              <w:left w:val="single" w:sz="4" w:space="0" w:color="auto"/>
              <w:bottom w:val="single" w:sz="4" w:space="0" w:color="auto"/>
              <w:right w:val="single" w:sz="4" w:space="0" w:color="auto"/>
            </w:tcBorders>
            <w:vAlign w:val="center"/>
          </w:tcPr>
          <w:p w14:paraId="4F3C965B" w14:textId="77777777" w:rsidR="005D5796" w:rsidRDefault="005D5796">
            <w:pPr>
              <w:widowControl/>
              <w:tabs>
                <w:tab w:val="left" w:pos="963"/>
              </w:tabs>
              <w:spacing w:line="360" w:lineRule="auto"/>
              <w:jc w:val="center"/>
              <w:rPr>
                <w:rFonts w:hint="eastAsia"/>
                <w:sz w:val="28"/>
                <w:szCs w:val="28"/>
              </w:rPr>
            </w:pPr>
          </w:p>
        </w:tc>
        <w:tc>
          <w:tcPr>
            <w:tcW w:w="3390" w:type="dxa"/>
            <w:vMerge/>
            <w:tcBorders>
              <w:top w:val="nil"/>
              <w:left w:val="single" w:sz="4" w:space="0" w:color="auto"/>
              <w:bottom w:val="single" w:sz="4" w:space="0" w:color="auto"/>
              <w:right w:val="single" w:sz="4" w:space="0" w:color="auto"/>
            </w:tcBorders>
            <w:vAlign w:val="center"/>
          </w:tcPr>
          <w:p w14:paraId="7DCF1CB5" w14:textId="77777777" w:rsidR="005D5796" w:rsidRDefault="005D5796">
            <w:pPr>
              <w:widowControl/>
              <w:tabs>
                <w:tab w:val="left" w:pos="963"/>
              </w:tabs>
              <w:spacing w:line="360" w:lineRule="auto"/>
              <w:jc w:val="center"/>
              <w:rPr>
                <w:rFonts w:hint="eastAsia"/>
                <w:sz w:val="28"/>
                <w:szCs w:val="28"/>
              </w:rPr>
            </w:pPr>
          </w:p>
        </w:tc>
        <w:tc>
          <w:tcPr>
            <w:tcW w:w="3788" w:type="dxa"/>
            <w:tcBorders>
              <w:top w:val="nil"/>
              <w:left w:val="nil"/>
              <w:bottom w:val="single" w:sz="4" w:space="0" w:color="auto"/>
              <w:right w:val="single" w:sz="4" w:space="0" w:color="auto"/>
            </w:tcBorders>
            <w:vAlign w:val="center"/>
          </w:tcPr>
          <w:p w14:paraId="59BF6221" w14:textId="77777777" w:rsidR="005D5796" w:rsidRDefault="00000000">
            <w:pPr>
              <w:widowControl/>
              <w:spacing w:line="360" w:lineRule="auto"/>
              <w:jc w:val="center"/>
              <w:rPr>
                <w:rFonts w:hint="eastAsia"/>
                <w:sz w:val="28"/>
                <w:szCs w:val="28"/>
              </w:rPr>
            </w:pPr>
            <w:r>
              <w:rPr>
                <w:rFonts w:hint="eastAsia"/>
                <w:sz w:val="28"/>
                <w:szCs w:val="28"/>
                <w:lang w:val="en-US" w:bidi="ar"/>
              </w:rPr>
              <w:t>挑战杯全国三等奖（铜奖）</w:t>
            </w:r>
          </w:p>
        </w:tc>
      </w:tr>
      <w:tr w:rsidR="005D5796" w14:paraId="3510EF04" w14:textId="77777777">
        <w:trPr>
          <w:gridAfter w:val="1"/>
          <w:wAfter w:w="236" w:type="dxa"/>
          <w:trHeight w:val="2486"/>
          <w:jc w:val="center"/>
        </w:trPr>
        <w:tc>
          <w:tcPr>
            <w:tcW w:w="1544" w:type="dxa"/>
            <w:tcBorders>
              <w:top w:val="nil"/>
              <w:left w:val="single" w:sz="4" w:space="0" w:color="auto"/>
              <w:bottom w:val="single" w:sz="4" w:space="0" w:color="auto"/>
              <w:right w:val="single" w:sz="4" w:space="0" w:color="auto"/>
            </w:tcBorders>
            <w:vAlign w:val="center"/>
          </w:tcPr>
          <w:p w14:paraId="1C9AAA8C" w14:textId="77777777" w:rsidR="005D5796" w:rsidRDefault="00000000">
            <w:pPr>
              <w:widowControl/>
              <w:tabs>
                <w:tab w:val="left" w:pos="963"/>
              </w:tabs>
              <w:spacing w:line="360" w:lineRule="auto"/>
              <w:jc w:val="center"/>
              <w:rPr>
                <w:rFonts w:hint="eastAsia"/>
                <w:sz w:val="28"/>
                <w:szCs w:val="28"/>
              </w:rPr>
            </w:pPr>
            <w:r>
              <w:rPr>
                <w:rFonts w:hint="eastAsia"/>
                <w:sz w:val="28"/>
                <w:szCs w:val="28"/>
              </w:rPr>
              <w:t>20</w:t>
            </w:r>
          </w:p>
        </w:tc>
        <w:tc>
          <w:tcPr>
            <w:tcW w:w="3390" w:type="dxa"/>
            <w:tcBorders>
              <w:top w:val="nil"/>
              <w:left w:val="single" w:sz="4" w:space="0" w:color="auto"/>
              <w:bottom w:val="single" w:sz="4" w:space="0" w:color="auto"/>
              <w:right w:val="single" w:sz="4" w:space="0" w:color="auto"/>
            </w:tcBorders>
            <w:vAlign w:val="center"/>
          </w:tcPr>
          <w:p w14:paraId="224C0DD9" w14:textId="77777777" w:rsidR="005D5796" w:rsidRDefault="00000000">
            <w:pPr>
              <w:widowControl/>
              <w:tabs>
                <w:tab w:val="left" w:pos="963"/>
              </w:tabs>
              <w:spacing w:line="360" w:lineRule="auto"/>
              <w:jc w:val="center"/>
              <w:rPr>
                <w:rFonts w:hint="eastAsia"/>
                <w:sz w:val="28"/>
                <w:szCs w:val="28"/>
              </w:rPr>
            </w:pPr>
            <w:r>
              <w:rPr>
                <w:rFonts w:hint="eastAsia"/>
                <w:sz w:val="28"/>
                <w:szCs w:val="28"/>
              </w:rPr>
              <w:t>CCF推荐B类国际期刊</w:t>
            </w:r>
          </w:p>
          <w:p w14:paraId="7C86FA34" w14:textId="77777777" w:rsidR="005D5796" w:rsidRDefault="00000000">
            <w:pPr>
              <w:widowControl/>
              <w:tabs>
                <w:tab w:val="left" w:pos="963"/>
              </w:tabs>
              <w:spacing w:line="360" w:lineRule="auto"/>
              <w:jc w:val="center"/>
              <w:rPr>
                <w:rFonts w:hint="eastAsia"/>
                <w:sz w:val="28"/>
                <w:szCs w:val="28"/>
              </w:rPr>
            </w:pPr>
            <w:r>
              <w:rPr>
                <w:rFonts w:hint="eastAsia"/>
                <w:sz w:val="28"/>
                <w:szCs w:val="28"/>
              </w:rPr>
              <w:t>CCF推荐B类国际会议</w:t>
            </w:r>
          </w:p>
          <w:p w14:paraId="08E9B911" w14:textId="77777777" w:rsidR="005D5796" w:rsidRDefault="00000000">
            <w:pPr>
              <w:widowControl/>
              <w:tabs>
                <w:tab w:val="left" w:pos="963"/>
              </w:tabs>
              <w:spacing w:line="360" w:lineRule="auto"/>
              <w:jc w:val="center"/>
              <w:rPr>
                <w:rFonts w:hint="eastAsia"/>
                <w:sz w:val="28"/>
                <w:szCs w:val="28"/>
                <w:lang w:val="en-US"/>
              </w:rPr>
            </w:pPr>
            <w:r>
              <w:rPr>
                <w:rFonts w:hint="eastAsia"/>
                <w:sz w:val="28"/>
                <w:szCs w:val="28"/>
                <w:lang w:val="en-US"/>
              </w:rPr>
              <w:t>IEEE/ACM Transactions</w:t>
            </w:r>
          </w:p>
          <w:p w14:paraId="0B2F2200" w14:textId="1CAEE1D0" w:rsidR="005D5796" w:rsidRDefault="00000000">
            <w:pPr>
              <w:widowControl/>
              <w:tabs>
                <w:tab w:val="left" w:pos="963"/>
              </w:tabs>
              <w:spacing w:line="360" w:lineRule="auto"/>
              <w:jc w:val="center"/>
              <w:rPr>
                <w:rFonts w:hint="eastAsia"/>
                <w:sz w:val="28"/>
                <w:szCs w:val="28"/>
              </w:rPr>
            </w:pPr>
            <w:r>
              <w:rPr>
                <w:rFonts w:hint="eastAsia"/>
                <w:sz w:val="28"/>
                <w:szCs w:val="28"/>
              </w:rPr>
              <w:t>SCI</w:t>
            </w:r>
            <w:r>
              <w:rPr>
                <w:rFonts w:hint="eastAsia"/>
                <w:sz w:val="28"/>
                <w:szCs w:val="28"/>
                <w:lang w:val="en-US"/>
              </w:rPr>
              <w:t>二</w:t>
            </w:r>
            <w:r>
              <w:rPr>
                <w:rFonts w:hint="eastAsia"/>
                <w:sz w:val="28"/>
                <w:szCs w:val="28"/>
              </w:rPr>
              <w:t>区（中科院分区）</w:t>
            </w:r>
          </w:p>
          <w:p w14:paraId="76ED17F7" w14:textId="497D1782" w:rsidR="005D5796" w:rsidRDefault="00000000">
            <w:pPr>
              <w:widowControl/>
              <w:tabs>
                <w:tab w:val="left" w:pos="963"/>
              </w:tabs>
              <w:spacing w:line="360" w:lineRule="auto"/>
              <w:jc w:val="center"/>
              <w:rPr>
                <w:rFonts w:hint="eastAsia"/>
                <w:sz w:val="28"/>
                <w:szCs w:val="28"/>
              </w:rPr>
            </w:pPr>
            <w:r>
              <w:rPr>
                <w:rFonts w:hint="eastAsia"/>
                <w:sz w:val="28"/>
                <w:szCs w:val="28"/>
                <w:lang w:val="en-US"/>
              </w:rPr>
              <w:t>及以上期刊</w:t>
            </w:r>
          </w:p>
        </w:tc>
        <w:tc>
          <w:tcPr>
            <w:tcW w:w="3788" w:type="dxa"/>
            <w:tcBorders>
              <w:top w:val="nil"/>
              <w:left w:val="nil"/>
              <w:bottom w:val="single" w:sz="4" w:space="0" w:color="auto"/>
              <w:right w:val="single" w:sz="4" w:space="0" w:color="auto"/>
            </w:tcBorders>
            <w:vAlign w:val="center"/>
          </w:tcPr>
          <w:p w14:paraId="56A3361D" w14:textId="77777777" w:rsidR="005D5796" w:rsidRDefault="00000000">
            <w:pPr>
              <w:widowControl/>
              <w:spacing w:line="360" w:lineRule="auto"/>
              <w:jc w:val="center"/>
              <w:rPr>
                <w:rFonts w:hint="eastAsia"/>
                <w:sz w:val="28"/>
                <w:szCs w:val="28"/>
              </w:rPr>
            </w:pPr>
            <w:r>
              <w:rPr>
                <w:rFonts w:hint="eastAsia"/>
                <w:sz w:val="28"/>
                <w:szCs w:val="28"/>
              </w:rPr>
              <w:t>中国研究生创新实践系列</w:t>
            </w:r>
          </w:p>
          <w:p w14:paraId="3E8564C9" w14:textId="77777777" w:rsidR="005D5796" w:rsidRDefault="00000000">
            <w:pPr>
              <w:widowControl/>
              <w:spacing w:line="360" w:lineRule="auto"/>
              <w:jc w:val="center"/>
              <w:rPr>
                <w:rFonts w:hint="eastAsia"/>
                <w:sz w:val="28"/>
                <w:szCs w:val="28"/>
              </w:rPr>
            </w:pPr>
            <w:r>
              <w:rPr>
                <w:rFonts w:hint="eastAsia"/>
                <w:sz w:val="28"/>
                <w:szCs w:val="28"/>
              </w:rPr>
              <w:t>赛事全国</w:t>
            </w:r>
            <w:r>
              <w:rPr>
                <w:rFonts w:hint="eastAsia"/>
                <w:sz w:val="28"/>
                <w:szCs w:val="28"/>
                <w:lang w:val="en-US"/>
              </w:rPr>
              <w:t>一</w:t>
            </w:r>
            <w:r>
              <w:rPr>
                <w:rFonts w:hint="eastAsia"/>
                <w:sz w:val="28"/>
                <w:szCs w:val="28"/>
              </w:rPr>
              <w:t>等奖</w:t>
            </w:r>
          </w:p>
        </w:tc>
      </w:tr>
      <w:tr w:rsidR="005D5796" w14:paraId="61BDF2B9" w14:textId="77777777">
        <w:trPr>
          <w:gridAfter w:val="1"/>
          <w:wAfter w:w="236" w:type="dxa"/>
          <w:trHeight w:val="624"/>
          <w:jc w:val="center"/>
        </w:trPr>
        <w:tc>
          <w:tcPr>
            <w:tcW w:w="1544" w:type="dxa"/>
            <w:vMerge w:val="restart"/>
            <w:tcBorders>
              <w:top w:val="nil"/>
              <w:left w:val="single" w:sz="4" w:space="0" w:color="auto"/>
              <w:bottom w:val="single" w:sz="4" w:space="0" w:color="auto"/>
              <w:right w:val="single" w:sz="4" w:space="0" w:color="auto"/>
            </w:tcBorders>
            <w:vAlign w:val="center"/>
          </w:tcPr>
          <w:p w14:paraId="550E0FC5" w14:textId="77777777" w:rsidR="005D5796" w:rsidRDefault="00000000">
            <w:pPr>
              <w:widowControl/>
              <w:tabs>
                <w:tab w:val="left" w:pos="963"/>
              </w:tabs>
              <w:spacing w:line="360" w:lineRule="auto"/>
              <w:jc w:val="center"/>
              <w:rPr>
                <w:rFonts w:hint="eastAsia"/>
                <w:sz w:val="28"/>
                <w:szCs w:val="28"/>
              </w:rPr>
            </w:pPr>
            <w:r>
              <w:rPr>
                <w:rFonts w:hint="eastAsia"/>
                <w:sz w:val="28"/>
                <w:szCs w:val="28"/>
              </w:rPr>
              <w:t>10</w:t>
            </w:r>
          </w:p>
        </w:tc>
        <w:tc>
          <w:tcPr>
            <w:tcW w:w="3390" w:type="dxa"/>
            <w:vMerge w:val="restart"/>
            <w:tcBorders>
              <w:top w:val="nil"/>
              <w:left w:val="single" w:sz="4" w:space="0" w:color="auto"/>
              <w:bottom w:val="single" w:sz="4" w:space="0" w:color="auto"/>
              <w:right w:val="single" w:sz="4" w:space="0" w:color="auto"/>
            </w:tcBorders>
            <w:vAlign w:val="center"/>
          </w:tcPr>
          <w:p w14:paraId="2073599A" w14:textId="77777777" w:rsidR="005D5796" w:rsidRDefault="00000000">
            <w:pPr>
              <w:widowControl/>
              <w:tabs>
                <w:tab w:val="left" w:pos="963"/>
              </w:tabs>
              <w:spacing w:line="360" w:lineRule="auto"/>
              <w:jc w:val="center"/>
              <w:rPr>
                <w:rFonts w:hint="eastAsia"/>
                <w:sz w:val="28"/>
                <w:szCs w:val="28"/>
              </w:rPr>
            </w:pPr>
            <w:r>
              <w:rPr>
                <w:rFonts w:hint="eastAsia"/>
                <w:sz w:val="28"/>
                <w:szCs w:val="28"/>
                <w:lang w:val="en-US"/>
              </w:rPr>
              <w:t>/</w:t>
            </w:r>
          </w:p>
        </w:tc>
        <w:tc>
          <w:tcPr>
            <w:tcW w:w="3788" w:type="dxa"/>
            <w:vMerge w:val="restart"/>
            <w:tcBorders>
              <w:top w:val="nil"/>
              <w:left w:val="single" w:sz="4" w:space="0" w:color="auto"/>
              <w:bottom w:val="single" w:sz="4" w:space="0" w:color="auto"/>
              <w:right w:val="single" w:sz="4" w:space="0" w:color="auto"/>
            </w:tcBorders>
            <w:vAlign w:val="center"/>
          </w:tcPr>
          <w:p w14:paraId="5E1F95FB" w14:textId="77777777" w:rsidR="005D5796" w:rsidRDefault="00000000">
            <w:pPr>
              <w:widowControl/>
              <w:spacing w:line="360" w:lineRule="auto"/>
              <w:jc w:val="center"/>
              <w:rPr>
                <w:rFonts w:hint="eastAsia"/>
                <w:sz w:val="28"/>
                <w:szCs w:val="28"/>
              </w:rPr>
            </w:pPr>
            <w:r>
              <w:rPr>
                <w:rFonts w:hint="eastAsia"/>
                <w:sz w:val="28"/>
                <w:szCs w:val="28"/>
              </w:rPr>
              <w:t>中国研究生创新实践系列</w:t>
            </w:r>
          </w:p>
          <w:p w14:paraId="25135356" w14:textId="77777777" w:rsidR="005D5796" w:rsidRDefault="00000000">
            <w:pPr>
              <w:widowControl/>
              <w:spacing w:line="360" w:lineRule="auto"/>
              <w:jc w:val="center"/>
              <w:rPr>
                <w:rFonts w:hint="eastAsia"/>
                <w:sz w:val="28"/>
                <w:szCs w:val="28"/>
              </w:rPr>
            </w:pPr>
            <w:r>
              <w:rPr>
                <w:rFonts w:hint="eastAsia"/>
                <w:sz w:val="28"/>
                <w:szCs w:val="28"/>
              </w:rPr>
              <w:t>赛事全国</w:t>
            </w:r>
            <w:r>
              <w:rPr>
                <w:rFonts w:hint="eastAsia"/>
                <w:sz w:val="28"/>
                <w:szCs w:val="28"/>
                <w:lang w:val="en-US"/>
              </w:rPr>
              <w:t>二</w:t>
            </w:r>
            <w:r>
              <w:rPr>
                <w:rFonts w:hint="eastAsia"/>
                <w:sz w:val="28"/>
                <w:szCs w:val="28"/>
              </w:rPr>
              <w:t>等奖</w:t>
            </w:r>
          </w:p>
        </w:tc>
      </w:tr>
      <w:tr w:rsidR="005D5796" w14:paraId="1A3309B9" w14:textId="77777777">
        <w:trPr>
          <w:trHeight w:val="551"/>
          <w:jc w:val="center"/>
        </w:trPr>
        <w:tc>
          <w:tcPr>
            <w:tcW w:w="1544" w:type="dxa"/>
            <w:vMerge/>
            <w:tcBorders>
              <w:top w:val="nil"/>
              <w:left w:val="single" w:sz="4" w:space="0" w:color="auto"/>
              <w:bottom w:val="single" w:sz="4" w:space="0" w:color="auto"/>
              <w:right w:val="single" w:sz="4" w:space="0" w:color="auto"/>
            </w:tcBorders>
            <w:vAlign w:val="center"/>
          </w:tcPr>
          <w:p w14:paraId="16455698" w14:textId="77777777" w:rsidR="005D5796" w:rsidRDefault="005D5796">
            <w:pPr>
              <w:widowControl/>
              <w:spacing w:line="360" w:lineRule="auto"/>
              <w:rPr>
                <w:rFonts w:ascii="仿宋_GB2312" w:hAnsi="等线" w:hint="eastAsia"/>
                <w:sz w:val="30"/>
                <w:szCs w:val="30"/>
              </w:rPr>
            </w:pPr>
          </w:p>
        </w:tc>
        <w:tc>
          <w:tcPr>
            <w:tcW w:w="3390" w:type="dxa"/>
            <w:vMerge/>
            <w:tcBorders>
              <w:top w:val="nil"/>
              <w:left w:val="single" w:sz="4" w:space="0" w:color="auto"/>
              <w:bottom w:val="single" w:sz="4" w:space="0" w:color="auto"/>
              <w:right w:val="single" w:sz="4" w:space="0" w:color="auto"/>
            </w:tcBorders>
            <w:vAlign w:val="center"/>
          </w:tcPr>
          <w:p w14:paraId="3742E33E" w14:textId="77777777" w:rsidR="005D5796" w:rsidRDefault="005D5796">
            <w:pPr>
              <w:widowControl/>
              <w:spacing w:line="360" w:lineRule="auto"/>
              <w:rPr>
                <w:rFonts w:ascii="仿宋_GB2312" w:hAnsi="等线" w:hint="eastAsia"/>
                <w:sz w:val="30"/>
                <w:szCs w:val="30"/>
              </w:rPr>
            </w:pPr>
          </w:p>
        </w:tc>
        <w:tc>
          <w:tcPr>
            <w:tcW w:w="3788" w:type="dxa"/>
            <w:vMerge/>
            <w:tcBorders>
              <w:top w:val="nil"/>
              <w:left w:val="single" w:sz="4" w:space="0" w:color="auto"/>
              <w:bottom w:val="single" w:sz="4" w:space="0" w:color="auto"/>
              <w:right w:val="single" w:sz="4" w:space="0" w:color="auto"/>
            </w:tcBorders>
            <w:vAlign w:val="center"/>
          </w:tcPr>
          <w:p w14:paraId="0AA7B507" w14:textId="77777777" w:rsidR="005D5796" w:rsidRDefault="005D5796">
            <w:pPr>
              <w:widowControl/>
              <w:spacing w:line="360" w:lineRule="auto"/>
              <w:rPr>
                <w:rFonts w:ascii="仿宋_GB2312" w:hAnsi="等线" w:hint="eastAsia"/>
                <w:sz w:val="30"/>
                <w:szCs w:val="30"/>
              </w:rPr>
            </w:pPr>
          </w:p>
        </w:tc>
        <w:tc>
          <w:tcPr>
            <w:tcW w:w="236" w:type="dxa"/>
            <w:tcBorders>
              <w:top w:val="nil"/>
              <w:left w:val="nil"/>
              <w:bottom w:val="nil"/>
              <w:right w:val="nil"/>
            </w:tcBorders>
            <w:noWrap/>
            <w:vAlign w:val="bottom"/>
          </w:tcPr>
          <w:p w14:paraId="2B16B0DD" w14:textId="77777777" w:rsidR="005D5796" w:rsidRDefault="005D5796">
            <w:pPr>
              <w:widowControl/>
              <w:spacing w:line="360" w:lineRule="auto"/>
              <w:jc w:val="center"/>
              <w:rPr>
                <w:rFonts w:ascii="仿宋_GB2312" w:hAnsi="等线" w:hint="eastAsia"/>
                <w:sz w:val="30"/>
                <w:szCs w:val="30"/>
              </w:rPr>
            </w:pPr>
          </w:p>
        </w:tc>
      </w:tr>
    </w:tbl>
    <w:p w14:paraId="67665CC6" w14:textId="77777777" w:rsidR="005D5796" w:rsidRDefault="00000000">
      <w:pPr>
        <w:spacing w:line="360" w:lineRule="auto"/>
        <w:rPr>
          <w:rFonts w:hint="eastAsia"/>
          <w:sz w:val="28"/>
        </w:rPr>
      </w:pPr>
      <w:r>
        <w:rPr>
          <w:rFonts w:hint="eastAsia"/>
          <w:sz w:val="28"/>
        </w:rPr>
        <w:t>注：</w:t>
      </w:r>
    </w:p>
    <w:p w14:paraId="1E5FFF26" w14:textId="77777777" w:rsidR="005D5796" w:rsidRDefault="00000000">
      <w:pPr>
        <w:spacing w:line="360" w:lineRule="auto"/>
        <w:rPr>
          <w:rFonts w:hint="eastAsia"/>
          <w:sz w:val="28"/>
        </w:rPr>
      </w:pPr>
      <w:r>
        <w:rPr>
          <w:rFonts w:hint="eastAsia"/>
          <w:sz w:val="28"/>
        </w:rPr>
        <w:t>1、研究生国家奖学金剔除一般性科研成果，突出奖励优秀科研成果，鼓励学生以第一作者发表高水平高质量论文。一般性成果将在学业奖学金体现。</w:t>
      </w:r>
    </w:p>
    <w:p w14:paraId="405C4157" w14:textId="77777777" w:rsidR="005D5796" w:rsidRDefault="00000000">
      <w:pPr>
        <w:spacing w:line="360" w:lineRule="auto"/>
        <w:rPr>
          <w:rFonts w:hint="eastAsia"/>
          <w:sz w:val="28"/>
        </w:rPr>
      </w:pPr>
      <w:r>
        <w:rPr>
          <w:rFonts w:hint="eastAsia"/>
          <w:sz w:val="28"/>
        </w:rPr>
        <w:t>2、若获大创赛国家级冠亚季军，在国金基础上*2，挑战杯国家级特等奖,在全国一等奖（金奖）基础上*2。</w:t>
      </w:r>
    </w:p>
    <w:p w14:paraId="5AFD5FDA" w14:textId="77777777" w:rsidR="005D5796" w:rsidRDefault="00000000">
      <w:pPr>
        <w:spacing w:line="360" w:lineRule="auto"/>
        <w:rPr>
          <w:rFonts w:hint="eastAsia"/>
          <w:sz w:val="28"/>
        </w:rPr>
      </w:pPr>
      <w:r>
        <w:rPr>
          <w:rFonts w:hint="eastAsia"/>
          <w:sz w:val="28"/>
        </w:rPr>
        <w:lastRenderedPageBreak/>
        <w:t>3、以上分数赋值及加分项仅为参考物作用。</w:t>
      </w:r>
    </w:p>
    <w:p w14:paraId="067E4D50" w14:textId="77777777" w:rsidR="005D5796" w:rsidRDefault="00000000">
      <w:pPr>
        <w:spacing w:line="360" w:lineRule="auto"/>
        <w:rPr>
          <w:rFonts w:hint="eastAsia"/>
          <w:b/>
          <w:bCs/>
          <w:sz w:val="28"/>
          <w:szCs w:val="28"/>
        </w:rPr>
      </w:pPr>
      <w:r>
        <w:rPr>
          <w:rFonts w:hint="eastAsia"/>
          <w:b/>
          <w:bCs/>
          <w:sz w:val="28"/>
          <w:szCs w:val="28"/>
        </w:rPr>
        <w:t>细则说明：</w:t>
      </w:r>
    </w:p>
    <w:p w14:paraId="1ABF5840" w14:textId="77777777" w:rsidR="005D5796" w:rsidRDefault="00000000">
      <w:pPr>
        <w:spacing w:line="360" w:lineRule="auto"/>
        <w:rPr>
          <w:rFonts w:hint="eastAsia"/>
          <w:b/>
          <w:bCs/>
          <w:sz w:val="28"/>
        </w:rPr>
      </w:pPr>
      <w:r>
        <w:rPr>
          <w:rFonts w:hint="eastAsia"/>
          <w:b/>
          <w:bCs/>
          <w:sz w:val="28"/>
        </w:rPr>
        <w:t>1.论文</w:t>
      </w:r>
    </w:p>
    <w:p w14:paraId="7A3382B6" w14:textId="77777777" w:rsidR="005D5796" w:rsidRDefault="00000000">
      <w:pPr>
        <w:spacing w:line="360" w:lineRule="auto"/>
        <w:rPr>
          <w:rFonts w:hint="eastAsia"/>
          <w:sz w:val="28"/>
        </w:rPr>
      </w:pPr>
      <w:r>
        <w:rPr>
          <w:rFonts w:hint="eastAsia"/>
          <w:sz w:val="28"/>
        </w:rPr>
        <w:t>（1）学术研究能力加分细则中论文部分只对学生为第一作者的高水平高质量论文成果进行计分。</w:t>
      </w:r>
    </w:p>
    <w:p w14:paraId="618AF09B" w14:textId="77777777" w:rsidR="005D5796" w:rsidRDefault="00000000">
      <w:pPr>
        <w:spacing w:line="360" w:lineRule="auto"/>
        <w:rPr>
          <w:rFonts w:hint="eastAsia"/>
          <w:sz w:val="28"/>
        </w:rPr>
      </w:pPr>
      <w:r>
        <w:rPr>
          <w:rFonts w:hint="eastAsia"/>
          <w:sz w:val="28"/>
        </w:rPr>
        <w:t>（2）本文件中 A 、B 类期刊是指列入我校公布的《国内 A、 B 类</w:t>
      </w:r>
    </w:p>
    <w:p w14:paraId="65997ADA" w14:textId="5FA6C698" w:rsidR="005D5796" w:rsidRDefault="00000000">
      <w:pPr>
        <w:spacing w:line="360" w:lineRule="auto"/>
        <w:rPr>
          <w:rFonts w:hint="eastAsia"/>
          <w:sz w:val="28"/>
        </w:rPr>
      </w:pPr>
      <w:r>
        <w:rPr>
          <w:rFonts w:hint="eastAsia"/>
          <w:sz w:val="28"/>
        </w:rPr>
        <w:t>期刊名录》 的正式期刊（不含增刊、专辑、专刊）。SCI 分区期刊是指 SCI 和 SCIE 收录期刊（不含 ESCI 收录期刊）。CCF 期刊或会议是指《中国计算机学会推荐国际学术会议和期刊目录》，其中，会议论文以当年 CCF 官方网站公布的范围认定。研究生学习期间如遇期刊或会议目录类别调整，被调入和调出的期刊和会议均为有效；</w:t>
      </w:r>
    </w:p>
    <w:p w14:paraId="4A75D4AD" w14:textId="3A21E947" w:rsidR="005D5796" w:rsidRDefault="00000000">
      <w:pPr>
        <w:spacing w:line="360" w:lineRule="auto"/>
        <w:rPr>
          <w:rFonts w:hint="eastAsia"/>
          <w:sz w:val="28"/>
        </w:rPr>
      </w:pPr>
      <w:r>
        <w:rPr>
          <w:rFonts w:hint="eastAsia"/>
          <w:sz w:val="28"/>
        </w:rPr>
        <w:t>（3）论文认定标准为见刊或录用通知和缴费证明或校图书馆出具的检索证明</w:t>
      </w:r>
      <w:r>
        <w:rPr>
          <w:rFonts w:hint="eastAsia"/>
          <w:sz w:val="28"/>
          <w:lang w:val="en-US"/>
        </w:rPr>
        <w:t>。</w:t>
      </w:r>
      <w:r>
        <w:rPr>
          <w:rFonts w:hint="eastAsia"/>
          <w:sz w:val="28"/>
        </w:rPr>
        <w:t>论文发表后获奖，不加获奖分；</w:t>
      </w:r>
    </w:p>
    <w:p w14:paraId="1F5FECB7" w14:textId="77777777" w:rsidR="005D5796" w:rsidRDefault="00000000">
      <w:pPr>
        <w:spacing w:line="360" w:lineRule="auto"/>
        <w:rPr>
          <w:rFonts w:hint="eastAsia"/>
          <w:sz w:val="28"/>
        </w:rPr>
      </w:pPr>
      <w:r>
        <w:rPr>
          <w:rFonts w:hint="eastAsia"/>
          <w:sz w:val="28"/>
        </w:rPr>
        <w:t>（4）成果第一作者署名单位须为浙江工业大学或浙江工业大学计算机科学与技术学院；</w:t>
      </w:r>
    </w:p>
    <w:p w14:paraId="4BAB0ACE" w14:textId="77777777" w:rsidR="005D5796" w:rsidRDefault="00000000">
      <w:pPr>
        <w:spacing w:line="360" w:lineRule="auto"/>
        <w:rPr>
          <w:rFonts w:hint="eastAsia"/>
          <w:sz w:val="28"/>
        </w:rPr>
      </w:pPr>
      <w:r>
        <w:rPr>
          <w:rFonts w:hint="eastAsia"/>
          <w:sz w:val="28"/>
        </w:rPr>
        <w:t>（5）如发现有研究生出现同一篇论文重复违规加分现象，将取消国奖评选资格；</w:t>
      </w:r>
    </w:p>
    <w:p w14:paraId="2238CF71" w14:textId="77777777" w:rsidR="005D5796" w:rsidRDefault="00000000">
      <w:pPr>
        <w:spacing w:line="360" w:lineRule="auto"/>
        <w:rPr>
          <w:rFonts w:hint="eastAsia"/>
          <w:sz w:val="28"/>
        </w:rPr>
      </w:pPr>
      <w:r>
        <w:rPr>
          <w:rFonts w:hint="eastAsia"/>
          <w:sz w:val="28"/>
        </w:rPr>
        <w:t>（6）如出现总分相同情况，依次根据学术研究能力分、最高水平论文层次、是否检索、是否发表、刊物影响因子确定排序；</w:t>
      </w:r>
    </w:p>
    <w:p w14:paraId="5BE2F66D" w14:textId="77777777" w:rsidR="005D5796" w:rsidRDefault="00000000">
      <w:pPr>
        <w:spacing w:line="360" w:lineRule="auto"/>
        <w:rPr>
          <w:rFonts w:hint="eastAsia"/>
          <w:sz w:val="28"/>
        </w:rPr>
      </w:pPr>
      <w:r>
        <w:rPr>
          <w:rFonts w:hint="eastAsia"/>
          <w:sz w:val="28"/>
        </w:rPr>
        <w:t>（7）其他特殊情况由国家奖学金评定委员会认定。</w:t>
      </w:r>
    </w:p>
    <w:p w14:paraId="38B09D73" w14:textId="77777777" w:rsidR="005D5796" w:rsidRDefault="00000000">
      <w:pPr>
        <w:spacing w:line="360" w:lineRule="auto"/>
        <w:rPr>
          <w:rFonts w:hint="eastAsia"/>
          <w:b/>
          <w:bCs/>
          <w:sz w:val="28"/>
        </w:rPr>
      </w:pPr>
      <w:r>
        <w:rPr>
          <w:rFonts w:hint="eastAsia"/>
          <w:b/>
          <w:bCs/>
          <w:sz w:val="28"/>
        </w:rPr>
        <w:t>2.科技竞赛</w:t>
      </w:r>
    </w:p>
    <w:p w14:paraId="01550E15" w14:textId="77777777" w:rsidR="005D5796" w:rsidRDefault="00000000">
      <w:pPr>
        <w:spacing w:line="360" w:lineRule="auto"/>
        <w:rPr>
          <w:rFonts w:hint="eastAsia"/>
          <w:sz w:val="28"/>
        </w:rPr>
      </w:pPr>
      <w:r>
        <w:rPr>
          <w:rFonts w:hint="eastAsia"/>
          <w:b/>
          <w:bCs/>
          <w:sz w:val="28"/>
        </w:rPr>
        <w:t>科技竞赛仅限以下经过学院认定的比赛项目:</w:t>
      </w:r>
    </w:p>
    <w:p w14:paraId="7BAC4A6A" w14:textId="77777777" w:rsidR="005D5796" w:rsidRDefault="00000000">
      <w:pPr>
        <w:spacing w:line="360" w:lineRule="auto"/>
        <w:rPr>
          <w:rFonts w:hint="eastAsia"/>
          <w:sz w:val="28"/>
        </w:rPr>
      </w:pPr>
      <w:r>
        <w:rPr>
          <w:rFonts w:hint="eastAsia"/>
          <w:sz w:val="28"/>
        </w:rPr>
        <w:lastRenderedPageBreak/>
        <w:t>中国国际大学生创新大赛</w:t>
      </w:r>
    </w:p>
    <w:p w14:paraId="4EC37706" w14:textId="77777777" w:rsidR="005D5796" w:rsidRDefault="00000000">
      <w:pPr>
        <w:spacing w:line="360" w:lineRule="auto"/>
        <w:rPr>
          <w:rFonts w:hint="eastAsia"/>
          <w:sz w:val="28"/>
          <w:lang w:val="en-US"/>
        </w:rPr>
      </w:pPr>
      <w:r>
        <w:rPr>
          <w:rFonts w:hint="eastAsia"/>
          <w:sz w:val="28"/>
        </w:rPr>
        <w:t>“挑战杯”全国大学生课外学术科技作品竞赛主体赛</w:t>
      </w:r>
      <w:r>
        <w:rPr>
          <w:rFonts w:hint="eastAsia"/>
          <w:sz w:val="28"/>
          <w:lang w:val="en-US"/>
        </w:rPr>
        <w:t xml:space="preserve">/“挑战杯”中国大学生创业计划大赛 </w:t>
      </w:r>
    </w:p>
    <w:p w14:paraId="349C1DBB" w14:textId="77777777" w:rsidR="005D5796" w:rsidRDefault="00000000">
      <w:pPr>
        <w:spacing w:line="360" w:lineRule="auto"/>
        <w:rPr>
          <w:rFonts w:hint="eastAsia"/>
          <w:sz w:val="28"/>
        </w:rPr>
      </w:pPr>
      <w:r>
        <w:rPr>
          <w:rFonts w:hint="eastAsia"/>
          <w:sz w:val="28"/>
        </w:rPr>
        <w:t>中国大学生服务外包创新创业大赛</w:t>
      </w:r>
    </w:p>
    <w:p w14:paraId="5218F9E2" w14:textId="77777777" w:rsidR="005D5796" w:rsidRDefault="00000000">
      <w:pPr>
        <w:spacing w:line="360" w:lineRule="auto"/>
        <w:rPr>
          <w:rFonts w:hint="eastAsia"/>
          <w:sz w:val="28"/>
        </w:rPr>
      </w:pPr>
      <w:r>
        <w:rPr>
          <w:rFonts w:hint="eastAsia"/>
          <w:sz w:val="28"/>
        </w:rPr>
        <w:t>教育部学位中心主办中国研究生智慧城市技术与创意设计大赛；</w:t>
      </w:r>
    </w:p>
    <w:p w14:paraId="36A29EC6" w14:textId="77777777" w:rsidR="005D5796" w:rsidRDefault="00000000">
      <w:pPr>
        <w:spacing w:line="360" w:lineRule="auto"/>
        <w:rPr>
          <w:rFonts w:hint="eastAsia"/>
          <w:sz w:val="28"/>
        </w:rPr>
      </w:pPr>
      <w:r>
        <w:rPr>
          <w:rFonts w:hint="eastAsia"/>
          <w:sz w:val="28"/>
        </w:rPr>
        <w:t>教育部学位中心主办中国研究生人工智能大赛；</w:t>
      </w:r>
    </w:p>
    <w:p w14:paraId="2D879DA2" w14:textId="77777777" w:rsidR="005D5796" w:rsidRDefault="00000000">
      <w:pPr>
        <w:spacing w:line="360" w:lineRule="auto"/>
        <w:rPr>
          <w:rFonts w:hint="eastAsia"/>
          <w:sz w:val="28"/>
        </w:rPr>
      </w:pPr>
      <w:r>
        <w:rPr>
          <w:rFonts w:hint="eastAsia"/>
          <w:sz w:val="28"/>
        </w:rPr>
        <w:t>教育部学位中心主办中国研究生移动终端应用设计创新大赛；</w:t>
      </w:r>
    </w:p>
    <w:p w14:paraId="3E4BFA27" w14:textId="77777777" w:rsidR="005D5796" w:rsidRDefault="00000000">
      <w:pPr>
        <w:spacing w:line="360" w:lineRule="auto"/>
        <w:rPr>
          <w:rFonts w:hint="eastAsia"/>
          <w:sz w:val="28"/>
        </w:rPr>
      </w:pPr>
      <w:r>
        <w:rPr>
          <w:rFonts w:hint="eastAsia"/>
          <w:sz w:val="28"/>
        </w:rPr>
        <w:t>教育部学位中心主办中国研究生未来飞行器创新大赛；</w:t>
      </w:r>
    </w:p>
    <w:p w14:paraId="72D02FE4" w14:textId="77777777" w:rsidR="005D5796" w:rsidRDefault="00000000">
      <w:pPr>
        <w:spacing w:line="360" w:lineRule="auto"/>
        <w:rPr>
          <w:rFonts w:hint="eastAsia"/>
          <w:sz w:val="28"/>
        </w:rPr>
      </w:pPr>
      <w:r>
        <w:rPr>
          <w:rFonts w:hint="eastAsia"/>
          <w:sz w:val="28"/>
        </w:rPr>
        <w:t>教育部学位中心主办中国研究生数学建模竞赛；</w:t>
      </w:r>
    </w:p>
    <w:p w14:paraId="5870F54D" w14:textId="77777777" w:rsidR="005D5796" w:rsidRDefault="00000000">
      <w:pPr>
        <w:spacing w:line="360" w:lineRule="auto"/>
        <w:rPr>
          <w:rFonts w:hint="eastAsia"/>
          <w:sz w:val="28"/>
        </w:rPr>
      </w:pPr>
      <w:r>
        <w:rPr>
          <w:rFonts w:hint="eastAsia"/>
          <w:sz w:val="28"/>
        </w:rPr>
        <w:t>教育部学位中心主办中国研究生电子设计竞赛；</w:t>
      </w:r>
    </w:p>
    <w:p w14:paraId="4923C45E" w14:textId="77777777" w:rsidR="005D5796" w:rsidRDefault="00000000">
      <w:pPr>
        <w:spacing w:line="360" w:lineRule="auto"/>
        <w:rPr>
          <w:rFonts w:hint="eastAsia"/>
          <w:sz w:val="28"/>
        </w:rPr>
      </w:pPr>
      <w:r>
        <w:rPr>
          <w:rFonts w:hint="eastAsia"/>
          <w:sz w:val="28"/>
        </w:rPr>
        <w:t>教育部学位中心主办中国研究生创“芯”大赛；</w:t>
      </w:r>
    </w:p>
    <w:p w14:paraId="5FEFBE02" w14:textId="77777777" w:rsidR="005D5796" w:rsidRDefault="00000000">
      <w:pPr>
        <w:spacing w:line="360" w:lineRule="auto"/>
        <w:rPr>
          <w:rFonts w:hint="eastAsia"/>
          <w:sz w:val="28"/>
        </w:rPr>
      </w:pPr>
      <w:r>
        <w:rPr>
          <w:rFonts w:hint="eastAsia"/>
          <w:sz w:val="28"/>
        </w:rPr>
        <w:t>教育部学位中心主办中国研究生机器人创新设计大赛；</w:t>
      </w:r>
    </w:p>
    <w:p w14:paraId="73E7FE78" w14:textId="77777777" w:rsidR="005D5796" w:rsidRDefault="00000000">
      <w:pPr>
        <w:spacing w:line="360" w:lineRule="auto"/>
        <w:rPr>
          <w:rFonts w:hint="eastAsia"/>
          <w:sz w:val="28"/>
        </w:rPr>
      </w:pPr>
      <w:r>
        <w:rPr>
          <w:rFonts w:hint="eastAsia"/>
          <w:sz w:val="28"/>
        </w:rPr>
        <w:t>教育部学位中心主办中国研究生石油装备创新设计大赛等赛事。</w:t>
      </w:r>
    </w:p>
    <w:p w14:paraId="4B2EE1E3" w14:textId="77777777" w:rsidR="005D5796" w:rsidRDefault="00000000">
      <w:pPr>
        <w:spacing w:line="360" w:lineRule="auto"/>
        <w:rPr>
          <w:rFonts w:hint="eastAsia"/>
          <w:sz w:val="28"/>
        </w:rPr>
      </w:pPr>
      <w:r>
        <w:rPr>
          <w:rFonts w:hint="eastAsia"/>
          <w:sz w:val="28"/>
        </w:rPr>
        <w:t>（1）互联网+国家级和挑战杯国赛获奖团队项目第一、第二、第三完成人分别计相应分值的100%、60%、40%，第四、第五完成人以30%计，第六完成人及以后均不加分。其他竞赛团队项目第一、第二、第三完成人分别计相应分值的100%、60%、40%，第四完成人及以后均不加分。</w:t>
      </w:r>
    </w:p>
    <w:p w14:paraId="5780FF80" w14:textId="77777777" w:rsidR="005D5796" w:rsidRDefault="00000000">
      <w:pPr>
        <w:spacing w:line="360" w:lineRule="auto"/>
        <w:rPr>
          <w:rFonts w:hint="eastAsia"/>
          <w:sz w:val="28"/>
        </w:rPr>
      </w:pPr>
      <w:r>
        <w:rPr>
          <w:rFonts w:hint="eastAsia"/>
          <w:sz w:val="28"/>
        </w:rPr>
        <w:t>（2）同一项目获得多项奖励，取最高级别分；</w:t>
      </w:r>
    </w:p>
    <w:p w14:paraId="5DD8B364" w14:textId="77777777" w:rsidR="005D5796" w:rsidRDefault="00000000">
      <w:pPr>
        <w:spacing w:line="360" w:lineRule="auto"/>
        <w:rPr>
          <w:rFonts w:hint="eastAsia"/>
          <w:sz w:val="28"/>
        </w:rPr>
      </w:pPr>
      <w:r>
        <w:rPr>
          <w:rFonts w:hint="eastAsia"/>
          <w:sz w:val="28"/>
        </w:rPr>
        <w:t>（3）成果第一作者署名单位须为浙江工业大学或浙江工业大学计算机科学与技术学院；</w:t>
      </w:r>
    </w:p>
    <w:p w14:paraId="6C3BA452" w14:textId="74844B26" w:rsidR="005D5796" w:rsidRDefault="00000000">
      <w:pPr>
        <w:spacing w:line="360" w:lineRule="auto"/>
        <w:rPr>
          <w:rFonts w:hint="eastAsia"/>
          <w:sz w:val="28"/>
        </w:rPr>
      </w:pPr>
      <w:r>
        <w:rPr>
          <w:rFonts w:hint="eastAsia"/>
          <w:sz w:val="28"/>
        </w:rPr>
        <w:t>（4）作为团队主要成员在</w:t>
      </w:r>
      <w:r>
        <w:rPr>
          <w:rFonts w:hint="eastAsia"/>
          <w:sz w:val="28"/>
          <w:szCs w:val="28"/>
          <w:lang w:val="en-US"/>
        </w:rPr>
        <w:t>大创赛</w:t>
      </w:r>
      <w:r>
        <w:rPr>
          <w:rFonts w:hint="eastAsia"/>
          <w:sz w:val="28"/>
        </w:rPr>
        <w:t>国赛中获得金奖或在挑战杯国赛</w:t>
      </w:r>
      <w:r>
        <w:rPr>
          <w:rFonts w:hint="eastAsia"/>
          <w:sz w:val="28"/>
          <w:lang w:val="en-US"/>
        </w:rPr>
        <w:t>主赛道</w:t>
      </w:r>
      <w:r>
        <w:rPr>
          <w:rFonts w:hint="eastAsia"/>
          <w:sz w:val="28"/>
        </w:rPr>
        <w:t>获得特等奖，优先推荐参评研究生国家奖学金。</w:t>
      </w:r>
    </w:p>
    <w:p w14:paraId="780ADBD5" w14:textId="77777777" w:rsidR="005D5796" w:rsidRDefault="00000000">
      <w:pPr>
        <w:spacing w:line="360" w:lineRule="auto"/>
        <w:rPr>
          <w:rFonts w:hint="eastAsia"/>
          <w:sz w:val="28"/>
        </w:rPr>
      </w:pPr>
      <w:r>
        <w:rPr>
          <w:rFonts w:hint="eastAsia"/>
          <w:sz w:val="28"/>
        </w:rPr>
        <w:lastRenderedPageBreak/>
        <w:t>（5）其他情况由国家奖学金评定委员会认定。</w:t>
      </w:r>
    </w:p>
    <w:sectPr w:rsidR="005D57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C9D2"/>
    <w:multiLevelType w:val="singleLevel"/>
    <w:tmpl w:val="0265C9D2"/>
    <w:lvl w:ilvl="0">
      <w:start w:val="1"/>
      <w:numFmt w:val="chineseCounting"/>
      <w:suff w:val="space"/>
      <w:lvlText w:val="%1、"/>
      <w:lvlJc w:val="left"/>
      <w:rPr>
        <w:rFonts w:hint="eastAsia"/>
      </w:rPr>
    </w:lvl>
  </w:abstractNum>
  <w:num w:numId="1" w16cid:durableId="120390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930427"/>
    <w:rsid w:val="005D5796"/>
    <w:rsid w:val="00B7403B"/>
    <w:rsid w:val="00BC277A"/>
    <w:rsid w:val="214178FD"/>
    <w:rsid w:val="2D761197"/>
    <w:rsid w:val="3C75173D"/>
    <w:rsid w:val="49721690"/>
    <w:rsid w:val="55930427"/>
    <w:rsid w:val="66845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6B317"/>
  <w15:docId w15:val="{FD0E15C4-430D-4287-8C8C-EAB155F7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9"/>
    <w:qFormat/>
    <w:pPr>
      <w:ind w:left="12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20" w:firstLine="559"/>
    </w:pPr>
    <w:rPr>
      <w:sz w:val="28"/>
      <w:szCs w:val="28"/>
    </w:rPr>
  </w:style>
  <w:style w:type="paragraph" w:styleId="a4">
    <w:name w:val="List Paragraph"/>
    <w:basedOn w:val="a"/>
    <w:uiPriority w:val="1"/>
    <w:qFormat/>
    <w:pPr>
      <w:ind w:left="120" w:firstLine="559"/>
    </w:pPr>
  </w:style>
  <w:style w:type="paragraph" w:styleId="a5">
    <w:name w:val="Revision"/>
    <w:hidden/>
    <w:uiPriority w:val="99"/>
    <w:unhideWhenUsed/>
    <w:rsid w:val="00B7403B"/>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1618</Words>
  <Characters>1667</Characters>
  <Application>Microsoft Office Word</Application>
  <DocSecurity>0</DocSecurity>
  <Lines>87</Lines>
  <Paragraphs>102</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紫薇秀雅</dc:creator>
  <cp:lastModifiedBy>姝盈 韩</cp:lastModifiedBy>
  <cp:revision>2</cp:revision>
  <dcterms:created xsi:type="dcterms:W3CDTF">2026-01-16T15:16:00Z</dcterms:created>
  <dcterms:modified xsi:type="dcterms:W3CDTF">2026-01-16T15:16:00Z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B03F1C38B5DB4A21B6598A4B47968E02_11</vt:lpwstr>
  </property>
  <property fmtid="{D5CDD505-2E9C-101B-9397-08002B2CF9AE}" pid="4" name="KSOTemplateDocerSaveRecord">
    <vt:lpwstr>eyJoZGlkIjoiMzg1ZWVhYjllZWZlZDIzZjczYjg0MzNhMzhlOGFmMjQiLCJ1c2VySWQiOiIxOTA4OTMyNzIifQ==</vt:lpwstr>
  </property>
</Properties>
</file>