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26C" w:rsidRPr="00072EDD" w:rsidRDefault="004B66DC" w:rsidP="00072EDD">
      <w:pPr>
        <w:widowControl/>
        <w:jc w:val="center"/>
        <w:rPr>
          <w:rFonts w:ascii="黑体" w:eastAsia="黑体" w:hAnsi="黑体" w:cs="宋体"/>
          <w:color w:val="000000"/>
          <w:kern w:val="0"/>
          <w:sz w:val="28"/>
          <w:szCs w:val="36"/>
        </w:rPr>
      </w:pPr>
      <w:r w:rsidRPr="004B66DC">
        <w:rPr>
          <w:rFonts w:ascii="黑体" w:eastAsia="黑体" w:hAnsi="黑体" w:cs="宋体" w:hint="eastAsia"/>
          <w:color w:val="000000"/>
          <w:kern w:val="0"/>
          <w:sz w:val="28"/>
          <w:szCs w:val="36"/>
        </w:rPr>
        <w:t>【</w:t>
      </w:r>
      <w:r w:rsidRPr="004B66DC">
        <w:rPr>
          <w:rFonts w:ascii="黑体" w:eastAsia="黑体" w:hAnsi="黑体" w:cs="宋体"/>
          <w:color w:val="000000"/>
          <w:kern w:val="0"/>
          <w:sz w:val="28"/>
          <w:szCs w:val="36"/>
        </w:rPr>
        <w:t>A15】大模型能力评测与prompt自动调优系统【恒生电子】</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1.命题方向</w:t>
      </w:r>
    </w:p>
    <w:p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智能计算</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2.题目类别</w:t>
      </w:r>
    </w:p>
    <w:p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应用类</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3.题目名称</w:t>
      </w:r>
    </w:p>
    <w:p w:rsidR="00A7126C" w:rsidRPr="00827D35" w:rsidRDefault="004B66DC" w:rsidP="00A7126C">
      <w:pPr>
        <w:widowControl/>
        <w:spacing w:line="360" w:lineRule="auto"/>
        <w:ind w:firstLine="484"/>
        <w:jc w:val="left"/>
        <w:rPr>
          <w:rFonts w:ascii="仿宋" w:eastAsia="仿宋" w:hAnsi="仿宋" w:cs="宋体"/>
          <w:color w:val="000000"/>
          <w:kern w:val="0"/>
          <w:sz w:val="24"/>
          <w:szCs w:val="24"/>
        </w:rPr>
      </w:pPr>
      <w:r w:rsidRPr="004B66DC">
        <w:rPr>
          <w:rFonts w:ascii="仿宋" w:eastAsia="仿宋" w:hAnsi="仿宋" w:cs="宋体" w:hint="eastAsia"/>
          <w:color w:val="000000"/>
          <w:kern w:val="0"/>
          <w:sz w:val="24"/>
          <w:szCs w:val="24"/>
        </w:rPr>
        <w:t>大模型能力评测与</w:t>
      </w:r>
      <w:r w:rsidRPr="004B66DC">
        <w:rPr>
          <w:rFonts w:ascii="仿宋" w:eastAsia="仿宋" w:hAnsi="仿宋" w:cs="宋体"/>
          <w:color w:val="000000"/>
          <w:kern w:val="0"/>
          <w:sz w:val="24"/>
          <w:szCs w:val="24"/>
        </w:rPr>
        <w:t>prompt自动调优系统</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4.背景说明</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【整体背景】</w:t>
      </w:r>
    </w:p>
    <w:p w:rsidR="00A7126C" w:rsidRPr="00827D35" w:rsidRDefault="00336028" w:rsidP="00A7126C">
      <w:pPr>
        <w:widowControl/>
        <w:spacing w:line="360" w:lineRule="auto"/>
        <w:ind w:firstLine="482"/>
        <w:jc w:val="left"/>
        <w:rPr>
          <w:rFonts w:ascii="仿宋" w:eastAsia="仿宋" w:hAnsi="仿宋" w:cs="宋体"/>
          <w:color w:val="000000"/>
          <w:kern w:val="0"/>
          <w:sz w:val="24"/>
          <w:szCs w:val="24"/>
        </w:rPr>
      </w:pPr>
      <w:r w:rsidRPr="00336028">
        <w:rPr>
          <w:rFonts w:ascii="仿宋" w:eastAsia="仿宋" w:hAnsi="仿宋" w:cs="宋体" w:hint="eastAsia"/>
          <w:color w:val="000000"/>
          <w:kern w:val="0"/>
          <w:sz w:val="24"/>
          <w:szCs w:val="24"/>
        </w:rPr>
        <w:t>随着大模型技术的快速发展，以</w:t>
      </w:r>
      <w:r w:rsidRPr="00336028">
        <w:rPr>
          <w:rFonts w:ascii="仿宋" w:eastAsia="仿宋" w:hAnsi="仿宋" w:cs="宋体"/>
          <w:color w:val="000000"/>
          <w:kern w:val="0"/>
          <w:sz w:val="24"/>
          <w:szCs w:val="24"/>
        </w:rPr>
        <w:t>GPT、DeepSeek、Qwen等为代表的大规模预训练模型在自然语言处理、多模态理解、代码生成等领域展现出强大的能力。大模型的广泛应用推动了产业智能化升级，例如智能客服、内容创作、金融分析、代码生成等场景均依赖大模型提供高效、精准的决策支持。然而，大模型在不同任务下的能力上限、性能表现及安全性问题是大模型工业应用落地中的关键。面向企业内部场景化任务选择能力最强的大模型以及效果最好的prompt，是当前大模型企业内部应用落地的基础效果保证。</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【公司背景】</w:t>
      </w:r>
    </w:p>
    <w:p w:rsidR="00336028" w:rsidRPr="00336028" w:rsidRDefault="00336028" w:rsidP="00336028">
      <w:pPr>
        <w:widowControl/>
        <w:spacing w:line="360" w:lineRule="auto"/>
        <w:ind w:firstLine="482"/>
        <w:jc w:val="left"/>
        <w:rPr>
          <w:rFonts w:ascii="仿宋" w:eastAsia="仿宋" w:hAnsi="仿宋" w:cs="宋体"/>
          <w:color w:val="000000"/>
          <w:kern w:val="0"/>
          <w:sz w:val="24"/>
          <w:szCs w:val="24"/>
        </w:rPr>
      </w:pPr>
      <w:r w:rsidRPr="00336028">
        <w:rPr>
          <w:rFonts w:ascii="仿宋" w:eastAsia="仿宋" w:hAnsi="仿宋" w:cs="宋体" w:hint="eastAsia"/>
          <w:color w:val="000000"/>
          <w:kern w:val="0"/>
          <w:sz w:val="24"/>
          <w:szCs w:val="24"/>
        </w:rPr>
        <w:t>恒生电子是一家以“让金融变简单”为使命的金融科技公司，总部位于中国杭州。</w:t>
      </w:r>
      <w:r w:rsidRPr="00336028">
        <w:rPr>
          <w:rFonts w:ascii="仿宋" w:eastAsia="仿宋" w:hAnsi="仿宋" w:cs="宋体"/>
          <w:color w:val="000000"/>
          <w:kern w:val="0"/>
          <w:sz w:val="24"/>
          <w:szCs w:val="24"/>
        </w:rPr>
        <w:t>1995年成立，2003年在上海证券交易所主板上市(600570.SH)，在北京、上海、深圳、武汉、南京以及香港、新加坡等地设有研发中心和子公司。</w:t>
      </w:r>
    </w:p>
    <w:p w:rsidR="00336028" w:rsidRPr="00336028" w:rsidRDefault="00336028" w:rsidP="00336028">
      <w:pPr>
        <w:widowControl/>
        <w:spacing w:line="360" w:lineRule="auto"/>
        <w:ind w:firstLine="482"/>
        <w:jc w:val="left"/>
        <w:rPr>
          <w:rFonts w:ascii="仿宋" w:eastAsia="仿宋" w:hAnsi="仿宋" w:cs="宋体"/>
          <w:color w:val="000000"/>
          <w:kern w:val="0"/>
          <w:sz w:val="24"/>
          <w:szCs w:val="24"/>
        </w:rPr>
      </w:pPr>
      <w:r w:rsidRPr="00336028">
        <w:rPr>
          <w:rFonts w:ascii="仿宋" w:eastAsia="仿宋" w:hAnsi="仿宋" w:cs="宋体" w:hint="eastAsia"/>
          <w:color w:val="000000"/>
          <w:kern w:val="0"/>
          <w:sz w:val="24"/>
          <w:szCs w:val="24"/>
        </w:rPr>
        <w:t>恒生聚焦金融行业，始终坚持“以客户为中心”的服务理念，致力于为证券、期货、基金、信托、保险、银行、交易所、私募等提供整体解决方案和服务。恒生已连续</w:t>
      </w:r>
      <w:r w:rsidRPr="00336028">
        <w:rPr>
          <w:rFonts w:ascii="仿宋" w:eastAsia="仿宋" w:hAnsi="仿宋" w:cs="宋体"/>
          <w:color w:val="000000"/>
          <w:kern w:val="0"/>
          <w:sz w:val="24"/>
          <w:szCs w:val="24"/>
        </w:rPr>
        <w:t>17年入选FinTech100全球金融科技百强榜单，2024年排名第22位，位列亚洲上榜企业第一。公司拥有超过10,000名员工，其中产品技术人员占比达67.2%。恒生坚持以技术服务为核心，每年以35%以上营业收入投入创新研发，2022年获批设立国家级博士后科研工作站。</w:t>
      </w:r>
    </w:p>
    <w:p w:rsidR="00A7126C" w:rsidRPr="00827D35" w:rsidRDefault="00336028" w:rsidP="00336028">
      <w:pPr>
        <w:widowControl/>
        <w:spacing w:line="360" w:lineRule="auto"/>
        <w:ind w:firstLine="482"/>
        <w:jc w:val="left"/>
        <w:rPr>
          <w:rFonts w:ascii="仿宋" w:eastAsia="仿宋" w:hAnsi="仿宋" w:cs="宋体"/>
          <w:color w:val="000000"/>
          <w:kern w:val="0"/>
          <w:sz w:val="24"/>
          <w:szCs w:val="24"/>
        </w:rPr>
      </w:pPr>
      <w:r w:rsidRPr="00336028">
        <w:rPr>
          <w:rFonts w:ascii="仿宋" w:eastAsia="仿宋" w:hAnsi="仿宋" w:cs="宋体" w:hint="eastAsia"/>
          <w:color w:val="000000"/>
          <w:kern w:val="0"/>
          <w:sz w:val="24"/>
          <w:szCs w:val="24"/>
        </w:rPr>
        <w:lastRenderedPageBreak/>
        <w:t>在企业发展同时，恒生积极履行企业社会责任，</w:t>
      </w:r>
      <w:r w:rsidRPr="00336028">
        <w:rPr>
          <w:rFonts w:ascii="仿宋" w:eastAsia="仿宋" w:hAnsi="仿宋" w:cs="宋体"/>
          <w:color w:val="000000"/>
          <w:kern w:val="0"/>
          <w:sz w:val="24"/>
          <w:szCs w:val="24"/>
        </w:rPr>
        <w:t>2016年成立浙江恒生电子公益基金会，2017年投入运营恒生投资者教育基地，在投资者教育、扶贫济困、关爱自闭症儿童等贡献力量，实现企业与社会可持续发展。</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【业务背景】</w:t>
      </w:r>
    </w:p>
    <w:p w:rsidR="00A7126C" w:rsidRDefault="00336028" w:rsidP="00A7126C">
      <w:pPr>
        <w:widowControl/>
        <w:spacing w:line="360" w:lineRule="auto"/>
        <w:ind w:firstLine="482"/>
        <w:jc w:val="left"/>
        <w:rPr>
          <w:rFonts w:ascii="仿宋" w:eastAsia="仿宋" w:hAnsi="仿宋" w:cs="宋体"/>
          <w:color w:val="000000"/>
          <w:kern w:val="0"/>
          <w:sz w:val="24"/>
          <w:szCs w:val="24"/>
        </w:rPr>
      </w:pPr>
      <w:r w:rsidRPr="00336028">
        <w:rPr>
          <w:rFonts w:ascii="仿宋" w:eastAsia="仿宋" w:hAnsi="仿宋" w:cs="宋体" w:hint="eastAsia"/>
          <w:color w:val="000000"/>
          <w:kern w:val="0"/>
          <w:sz w:val="24"/>
          <w:szCs w:val="24"/>
        </w:rPr>
        <w:t>恒生电子通过</w:t>
      </w:r>
      <w:r w:rsidRPr="00336028">
        <w:rPr>
          <w:rFonts w:ascii="仿宋" w:eastAsia="仿宋" w:hAnsi="仿宋" w:cs="宋体"/>
          <w:color w:val="000000"/>
          <w:kern w:val="0"/>
          <w:sz w:val="24"/>
          <w:szCs w:val="24"/>
        </w:rPr>
        <w:t>AI赋能金融客户群体（包括银行、券商、基金等）办公、生产流程智能化升级，为客户提供智能化软件与数据服务平台。基于恒生金融大模型为金融客户提供智能化软件提效、AI软件驾驶舱、金融数据智能问答助手等在内的一体化金融大模型服务。</w:t>
      </w:r>
    </w:p>
    <w:p w:rsidR="00336028" w:rsidRPr="00827D35" w:rsidRDefault="00336028" w:rsidP="00A7126C">
      <w:pPr>
        <w:widowControl/>
        <w:spacing w:line="360" w:lineRule="auto"/>
        <w:ind w:firstLine="482"/>
        <w:jc w:val="left"/>
        <w:rPr>
          <w:rFonts w:ascii="仿宋" w:eastAsia="仿宋" w:hAnsi="仿宋" w:cs="宋体" w:hint="eastAsia"/>
          <w:color w:val="000000"/>
          <w:kern w:val="0"/>
          <w:sz w:val="24"/>
          <w:szCs w:val="24"/>
        </w:rPr>
      </w:pPr>
      <w:r w:rsidRPr="00336028">
        <w:rPr>
          <w:rFonts w:ascii="仿宋" w:eastAsia="仿宋" w:hAnsi="仿宋" w:cs="宋体" w:hint="eastAsia"/>
          <w:color w:val="000000"/>
          <w:kern w:val="0"/>
          <w:sz w:val="24"/>
          <w:szCs w:val="24"/>
        </w:rPr>
        <w:t>构建一套完整的大模型能力评测体系、场景任务</w:t>
      </w:r>
      <w:r w:rsidRPr="00336028">
        <w:rPr>
          <w:rFonts w:ascii="仿宋" w:eastAsia="仿宋" w:hAnsi="仿宋" w:cs="宋体"/>
          <w:color w:val="000000"/>
          <w:kern w:val="0"/>
          <w:sz w:val="24"/>
          <w:szCs w:val="24"/>
        </w:rPr>
        <w:t>Prompt调优和体系化的管理平台，满足企业内部大模型应用落地中各种类型模型场景化能力评测，提供场景化的评测数据集的管理、评测标准的构建以及自动评估报告的生成，提供完整的数据、场景评估、标准发布、管理的标准流程，同时针对不同任务场景结合不同模型提供统一的prompt度量调优能力（如知识库问答、信息抽取任务等）。</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5.项目说明</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【问题说明】</w:t>
      </w:r>
    </w:p>
    <w:p w:rsidR="0066039E" w:rsidRPr="0066039E" w:rsidRDefault="0066039E" w:rsidP="0066039E">
      <w:pPr>
        <w:widowControl/>
        <w:spacing w:line="360" w:lineRule="auto"/>
        <w:ind w:firstLine="482"/>
        <w:jc w:val="left"/>
        <w:rPr>
          <w:rFonts w:ascii="仿宋" w:eastAsia="仿宋" w:hAnsi="仿宋" w:cs="宋体"/>
          <w:color w:val="000000"/>
          <w:kern w:val="0"/>
          <w:sz w:val="24"/>
          <w:szCs w:val="24"/>
        </w:rPr>
      </w:pPr>
      <w:r w:rsidRPr="0066039E">
        <w:rPr>
          <w:rFonts w:ascii="仿宋" w:eastAsia="仿宋" w:hAnsi="仿宋" w:cs="宋体" w:hint="eastAsia"/>
          <w:color w:val="000000"/>
          <w:kern w:val="0"/>
          <w:sz w:val="24"/>
          <w:szCs w:val="24"/>
        </w:rPr>
        <w:t>当前，大模型生产应用评测面临诸多挑战：</w:t>
      </w:r>
    </w:p>
    <w:p w:rsidR="0066039E" w:rsidRPr="0066039E" w:rsidRDefault="0066039E" w:rsidP="0066039E">
      <w:pPr>
        <w:widowControl/>
        <w:spacing w:line="360" w:lineRule="auto"/>
        <w:ind w:firstLine="482"/>
        <w:jc w:val="left"/>
        <w:rPr>
          <w:rFonts w:ascii="仿宋" w:eastAsia="仿宋" w:hAnsi="仿宋" w:cs="宋体"/>
          <w:color w:val="000000"/>
          <w:kern w:val="0"/>
          <w:sz w:val="24"/>
          <w:szCs w:val="24"/>
        </w:rPr>
      </w:pPr>
      <w:r w:rsidRPr="0066039E">
        <w:rPr>
          <w:rFonts w:ascii="仿宋" w:eastAsia="仿宋" w:hAnsi="仿宋" w:cs="宋体" w:hint="eastAsia"/>
          <w:color w:val="000000"/>
          <w:kern w:val="0"/>
          <w:sz w:val="24"/>
          <w:szCs w:val="24"/>
        </w:rPr>
        <w:t>缺乏统一的大模型评测管理平台，企业机构内部缺乏一套统一的大模型评测资产、流程管理平台，脚本化、手工化的评测流程低效。</w:t>
      </w:r>
    </w:p>
    <w:p w:rsidR="0066039E" w:rsidRPr="0066039E" w:rsidRDefault="0066039E" w:rsidP="0066039E">
      <w:pPr>
        <w:widowControl/>
        <w:spacing w:line="360" w:lineRule="auto"/>
        <w:ind w:firstLine="482"/>
        <w:jc w:val="left"/>
        <w:rPr>
          <w:rFonts w:ascii="仿宋" w:eastAsia="仿宋" w:hAnsi="仿宋" w:cs="宋体"/>
          <w:color w:val="000000"/>
          <w:kern w:val="0"/>
          <w:sz w:val="24"/>
          <w:szCs w:val="24"/>
        </w:rPr>
      </w:pPr>
      <w:r w:rsidRPr="0066039E">
        <w:rPr>
          <w:rFonts w:ascii="仿宋" w:eastAsia="仿宋" w:hAnsi="仿宋" w:cs="宋体" w:hint="eastAsia"/>
          <w:color w:val="000000"/>
          <w:kern w:val="0"/>
          <w:sz w:val="24"/>
          <w:szCs w:val="24"/>
        </w:rPr>
        <w:t>缺乏场景化的评测管理体系，现有公开的评测标准在企业内部并不能完全适用，缺乏场景化的评测标准构建、评审和维护。</w:t>
      </w:r>
    </w:p>
    <w:p w:rsidR="0066039E" w:rsidRPr="0066039E" w:rsidRDefault="0066039E" w:rsidP="0066039E">
      <w:pPr>
        <w:widowControl/>
        <w:spacing w:line="360" w:lineRule="auto"/>
        <w:ind w:firstLine="482"/>
        <w:jc w:val="left"/>
        <w:rPr>
          <w:rFonts w:ascii="仿宋" w:eastAsia="仿宋" w:hAnsi="仿宋" w:cs="宋体"/>
          <w:color w:val="000000"/>
          <w:kern w:val="0"/>
          <w:sz w:val="24"/>
          <w:szCs w:val="24"/>
        </w:rPr>
      </w:pPr>
      <w:r w:rsidRPr="0066039E">
        <w:rPr>
          <w:rFonts w:ascii="仿宋" w:eastAsia="仿宋" w:hAnsi="仿宋" w:cs="宋体" w:hint="eastAsia"/>
          <w:color w:val="000000"/>
          <w:kern w:val="0"/>
          <w:sz w:val="24"/>
          <w:szCs w:val="24"/>
        </w:rPr>
        <w:t>缺乏智能化场景任务</w:t>
      </w:r>
      <w:r w:rsidRPr="0066039E">
        <w:rPr>
          <w:rFonts w:ascii="仿宋" w:eastAsia="仿宋" w:hAnsi="仿宋" w:cs="宋体"/>
          <w:color w:val="000000"/>
          <w:kern w:val="0"/>
          <w:sz w:val="24"/>
          <w:szCs w:val="24"/>
        </w:rPr>
        <w:t>prompt调优的功能，针对知识库问答、信息抽取等场景任务的prompt智能调优。</w:t>
      </w:r>
    </w:p>
    <w:p w:rsidR="0066039E" w:rsidRPr="0066039E" w:rsidRDefault="0066039E" w:rsidP="0066039E">
      <w:pPr>
        <w:widowControl/>
        <w:spacing w:line="360" w:lineRule="auto"/>
        <w:ind w:firstLine="482"/>
        <w:jc w:val="left"/>
        <w:rPr>
          <w:rFonts w:ascii="仿宋" w:eastAsia="仿宋" w:hAnsi="仿宋" w:cs="宋体"/>
          <w:color w:val="000000"/>
          <w:kern w:val="0"/>
          <w:sz w:val="24"/>
          <w:szCs w:val="24"/>
        </w:rPr>
      </w:pPr>
      <w:r w:rsidRPr="0066039E">
        <w:rPr>
          <w:rFonts w:ascii="仿宋" w:eastAsia="仿宋" w:hAnsi="仿宋" w:cs="宋体" w:hint="eastAsia"/>
          <w:color w:val="000000"/>
          <w:kern w:val="0"/>
          <w:sz w:val="24"/>
          <w:szCs w:val="24"/>
        </w:rPr>
        <w:t>缺乏统一的评测数据资产管理，针对场景化的评测数据的新增、修改、删除以及统计等功能。</w:t>
      </w:r>
    </w:p>
    <w:p w:rsidR="0066039E" w:rsidRPr="0066039E" w:rsidRDefault="0066039E" w:rsidP="0066039E">
      <w:pPr>
        <w:widowControl/>
        <w:spacing w:line="360" w:lineRule="auto"/>
        <w:ind w:firstLine="482"/>
        <w:jc w:val="left"/>
        <w:rPr>
          <w:rFonts w:ascii="仿宋" w:eastAsia="仿宋" w:hAnsi="仿宋" w:cs="宋体"/>
          <w:color w:val="000000"/>
          <w:kern w:val="0"/>
          <w:sz w:val="24"/>
          <w:szCs w:val="24"/>
        </w:rPr>
      </w:pPr>
      <w:r w:rsidRPr="0066039E">
        <w:rPr>
          <w:rFonts w:ascii="仿宋" w:eastAsia="仿宋" w:hAnsi="仿宋" w:cs="宋体" w:hint="eastAsia"/>
          <w:color w:val="000000"/>
          <w:kern w:val="0"/>
          <w:sz w:val="24"/>
          <w:szCs w:val="24"/>
        </w:rPr>
        <w:t>缺乏标准的评测发布、审核流程，如，从能力评测标准构建、数据构建到发布的全流程的审核机制。</w:t>
      </w:r>
    </w:p>
    <w:p w:rsidR="00A7126C" w:rsidRPr="00827D35" w:rsidRDefault="0066039E" w:rsidP="0066039E">
      <w:pPr>
        <w:widowControl/>
        <w:spacing w:line="360" w:lineRule="auto"/>
        <w:ind w:firstLine="482"/>
        <w:jc w:val="left"/>
        <w:rPr>
          <w:rFonts w:ascii="仿宋" w:eastAsia="仿宋" w:hAnsi="仿宋" w:cs="宋体"/>
          <w:color w:val="000000"/>
          <w:kern w:val="0"/>
          <w:sz w:val="24"/>
          <w:szCs w:val="24"/>
        </w:rPr>
      </w:pPr>
      <w:r w:rsidRPr="0066039E">
        <w:rPr>
          <w:rFonts w:ascii="仿宋" w:eastAsia="仿宋" w:hAnsi="仿宋" w:cs="宋体" w:hint="eastAsia"/>
          <w:color w:val="000000"/>
          <w:kern w:val="0"/>
          <w:sz w:val="24"/>
          <w:szCs w:val="24"/>
        </w:rPr>
        <w:t>为解决这些问题，场景化大模型度量与</w:t>
      </w:r>
      <w:r w:rsidRPr="0066039E">
        <w:rPr>
          <w:rFonts w:ascii="仿宋" w:eastAsia="仿宋" w:hAnsi="仿宋" w:cs="宋体"/>
          <w:color w:val="000000"/>
          <w:kern w:val="0"/>
          <w:sz w:val="24"/>
          <w:szCs w:val="24"/>
        </w:rPr>
        <w:t>prompt智能调优系统为行业刚需。该系统需提供标准化评测框架、多维度能力评估（如逻辑推理、多语言理解、</w:t>
      </w:r>
      <w:r w:rsidRPr="0066039E">
        <w:rPr>
          <w:rFonts w:ascii="仿宋" w:eastAsia="仿宋" w:hAnsi="仿宋" w:cs="宋体"/>
          <w:color w:val="000000"/>
          <w:kern w:val="0"/>
          <w:sz w:val="24"/>
          <w:szCs w:val="24"/>
        </w:rPr>
        <w:lastRenderedPageBreak/>
        <w:t>鲁棒性等）、自动化prompt生成和效果评测工具以及可扩展的评测数据管理功能。通过构建开放、透明的评测体系和任务评测数据集，平台可帮助企业高效评估模型性能，并结合任务数据对prompt智能调优，同时确保使用的模型最优，prompt效果最好。</w:t>
      </w:r>
    </w:p>
    <w:p w:rsidR="00A7126C" w:rsidRPr="00CA5EF2" w:rsidRDefault="00A7126C" w:rsidP="00A7126C">
      <w:pPr>
        <w:widowControl/>
        <w:spacing w:line="360" w:lineRule="auto"/>
        <w:ind w:firstLine="482"/>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【用户期望】</w:t>
      </w:r>
    </w:p>
    <w:p w:rsidR="0066039E" w:rsidRPr="0066039E" w:rsidRDefault="0066039E" w:rsidP="0066039E">
      <w:pPr>
        <w:pStyle w:val="a9"/>
        <w:spacing w:before="0" w:beforeAutospacing="0" w:after="0" w:afterAutospacing="0" w:line="460" w:lineRule="exact"/>
        <w:ind w:firstLineChars="200" w:firstLine="480"/>
        <w:rPr>
          <w:rFonts w:ascii="仿宋" w:eastAsia="仿宋" w:hAnsi="仿宋" w:cs="仿宋"/>
          <w:kern w:val="2"/>
          <w:szCs w:val="28"/>
        </w:rPr>
      </w:pPr>
      <w:r w:rsidRPr="0066039E">
        <w:rPr>
          <w:rFonts w:ascii="仿宋" w:eastAsia="仿宋" w:hAnsi="仿宋" w:cs="仿宋" w:hint="eastAsia"/>
          <w:kern w:val="2"/>
          <w:szCs w:val="28"/>
        </w:rPr>
        <w:t>开发一个企业内部大模型能力评测管理与prompt调优平台，能够够快速接入内外部模型服务，结合审核通过的评测数据以及评估标准进行模型效果和性能评测，同时基于评测数据对任务prompt进行智能自动调优，并输出评估报告以及最优的任务prompt。提供完整的评测数据、标准构建、审核评估以及维护的完整功能。</w:t>
      </w:r>
    </w:p>
    <w:p w:rsidR="0066039E" w:rsidRPr="0066039E" w:rsidRDefault="0066039E" w:rsidP="0066039E">
      <w:pPr>
        <w:pStyle w:val="a9"/>
        <w:spacing w:before="0" w:beforeAutospacing="0" w:after="0" w:afterAutospacing="0" w:line="460" w:lineRule="exact"/>
        <w:ind w:firstLineChars="200" w:firstLine="480"/>
        <w:rPr>
          <w:rFonts w:ascii="仿宋" w:eastAsia="仿宋" w:hAnsi="仿宋" w:cs="仿宋"/>
          <w:kern w:val="2"/>
          <w:szCs w:val="28"/>
        </w:rPr>
      </w:pPr>
      <w:r w:rsidRPr="0066039E">
        <w:rPr>
          <w:rFonts w:ascii="仿宋" w:eastAsia="仿宋" w:hAnsi="仿宋" w:cs="仿宋" w:hint="eastAsia"/>
          <w:kern w:val="2"/>
          <w:szCs w:val="28"/>
        </w:rPr>
        <w:t>具体功能包括：</w:t>
      </w:r>
    </w:p>
    <w:p w:rsidR="0066039E" w:rsidRPr="0066039E" w:rsidRDefault="0066039E" w:rsidP="0066039E">
      <w:pPr>
        <w:pStyle w:val="a9"/>
        <w:spacing w:before="0" w:beforeAutospacing="0" w:after="0" w:afterAutospacing="0" w:line="460" w:lineRule="exact"/>
        <w:ind w:firstLineChars="200" w:firstLine="482"/>
        <w:rPr>
          <w:rFonts w:ascii="仿宋" w:eastAsia="仿宋" w:hAnsi="仿宋" w:cs="仿宋"/>
          <w:kern w:val="2"/>
          <w:szCs w:val="28"/>
        </w:rPr>
      </w:pPr>
      <w:r w:rsidRPr="0066039E">
        <w:rPr>
          <w:rFonts w:ascii="仿宋" w:eastAsia="仿宋" w:hAnsi="仿宋" w:cs="仿宋" w:hint="eastAsia"/>
          <w:b/>
          <w:bCs/>
          <w:kern w:val="2"/>
          <w:szCs w:val="28"/>
        </w:rPr>
        <w:t>模型接入+管理：</w:t>
      </w:r>
      <w:r w:rsidRPr="0066039E">
        <w:rPr>
          <w:rFonts w:ascii="仿宋" w:eastAsia="仿宋" w:hAnsi="仿宋" w:cs="仿宋" w:hint="eastAsia"/>
          <w:kern w:val="2"/>
          <w:szCs w:val="28"/>
        </w:rPr>
        <w:t>模型标准接入以及管理模块</w:t>
      </w:r>
    </w:p>
    <w:p w:rsidR="0066039E" w:rsidRPr="0066039E" w:rsidRDefault="0066039E" w:rsidP="0066039E">
      <w:pPr>
        <w:pStyle w:val="a9"/>
        <w:spacing w:before="0" w:beforeAutospacing="0" w:after="0" w:afterAutospacing="0" w:line="460" w:lineRule="exact"/>
        <w:ind w:firstLineChars="200" w:firstLine="482"/>
        <w:rPr>
          <w:rFonts w:ascii="仿宋" w:eastAsia="仿宋" w:hAnsi="仿宋" w:cs="仿宋"/>
          <w:kern w:val="2"/>
          <w:szCs w:val="28"/>
        </w:rPr>
      </w:pPr>
      <w:r w:rsidRPr="0066039E">
        <w:rPr>
          <w:rFonts w:ascii="仿宋" w:eastAsia="仿宋" w:hAnsi="仿宋" w:cs="仿宋" w:hint="eastAsia"/>
          <w:b/>
          <w:bCs/>
          <w:kern w:val="2"/>
          <w:szCs w:val="28"/>
        </w:rPr>
        <w:t>评测标准发布管理：</w:t>
      </w:r>
      <w:r w:rsidRPr="0066039E">
        <w:rPr>
          <w:rFonts w:ascii="仿宋" w:eastAsia="仿宋" w:hAnsi="仿宋" w:cs="仿宋" w:hint="eastAsia"/>
          <w:kern w:val="2"/>
          <w:szCs w:val="28"/>
        </w:rPr>
        <w:t>提供常用的模型评测标准，如EM(Exact match)、BLEU（Bilingual Evaluation Understudy）等，支持用户自定义评估标准，包括基于大模型的评价打分模式等。同时提供用户自定义评估标准发布的审核流程。</w:t>
      </w:r>
    </w:p>
    <w:p w:rsidR="0066039E" w:rsidRPr="0066039E" w:rsidRDefault="0066039E" w:rsidP="0066039E">
      <w:pPr>
        <w:pStyle w:val="a9"/>
        <w:spacing w:before="0" w:beforeAutospacing="0" w:after="0" w:afterAutospacing="0" w:line="460" w:lineRule="exact"/>
        <w:ind w:firstLineChars="200" w:firstLine="482"/>
        <w:rPr>
          <w:rFonts w:ascii="仿宋" w:eastAsia="仿宋" w:hAnsi="仿宋" w:cs="仿宋"/>
          <w:b/>
          <w:bCs/>
          <w:kern w:val="2"/>
          <w:szCs w:val="28"/>
        </w:rPr>
      </w:pPr>
      <w:r w:rsidRPr="0066039E">
        <w:rPr>
          <w:rFonts w:ascii="仿宋" w:eastAsia="仿宋" w:hAnsi="仿宋" w:cs="仿宋" w:hint="eastAsia"/>
          <w:b/>
          <w:bCs/>
          <w:kern w:val="2"/>
          <w:szCs w:val="28"/>
        </w:rPr>
        <w:t>数据发布流程：</w:t>
      </w:r>
      <w:r w:rsidRPr="0066039E">
        <w:rPr>
          <w:rFonts w:ascii="仿宋" w:eastAsia="仿宋" w:hAnsi="仿宋" w:cs="仿宋" w:hint="eastAsia"/>
          <w:kern w:val="2"/>
          <w:szCs w:val="28"/>
        </w:rPr>
        <w:t>场景化评测数据集构建、审核、发布流程管理。</w:t>
      </w:r>
    </w:p>
    <w:p w:rsidR="0066039E" w:rsidRPr="0066039E" w:rsidRDefault="0066039E" w:rsidP="0066039E">
      <w:pPr>
        <w:pStyle w:val="a9"/>
        <w:spacing w:before="0" w:beforeAutospacing="0" w:after="0" w:afterAutospacing="0" w:line="460" w:lineRule="exact"/>
        <w:ind w:firstLineChars="200" w:firstLine="482"/>
        <w:rPr>
          <w:rFonts w:ascii="仿宋" w:eastAsia="仿宋" w:hAnsi="仿宋" w:cs="仿宋"/>
          <w:b/>
          <w:bCs/>
          <w:kern w:val="2"/>
          <w:szCs w:val="28"/>
        </w:rPr>
      </w:pPr>
      <w:r w:rsidRPr="0066039E">
        <w:rPr>
          <w:rFonts w:ascii="仿宋" w:eastAsia="仿宋" w:hAnsi="仿宋" w:cs="仿宋" w:hint="eastAsia"/>
          <w:b/>
          <w:bCs/>
          <w:kern w:val="2"/>
          <w:szCs w:val="28"/>
        </w:rPr>
        <w:t>评测流程构建：</w:t>
      </w:r>
    </w:p>
    <w:p w:rsidR="0066039E" w:rsidRPr="0066039E" w:rsidRDefault="0066039E" w:rsidP="0066039E">
      <w:pPr>
        <w:pStyle w:val="a9"/>
        <w:spacing w:before="0" w:beforeAutospacing="0" w:after="0" w:afterAutospacing="0" w:line="460" w:lineRule="exact"/>
        <w:ind w:firstLine="420"/>
        <w:rPr>
          <w:rFonts w:ascii="仿宋" w:eastAsia="仿宋" w:hAnsi="仿宋" w:cs="仿宋"/>
          <w:b/>
          <w:bCs/>
          <w:kern w:val="2"/>
          <w:szCs w:val="28"/>
        </w:rPr>
      </w:pPr>
      <w:r w:rsidRPr="0066039E">
        <w:rPr>
          <w:rFonts w:ascii="仿宋" w:eastAsia="仿宋" w:hAnsi="仿宋" w:cs="仿宋" w:hint="eastAsia"/>
          <w:b/>
          <w:bCs/>
          <w:kern w:val="2"/>
          <w:szCs w:val="28"/>
        </w:rPr>
        <w:t xml:space="preserve"> 1）Prompt调优：</w:t>
      </w:r>
      <w:r w:rsidRPr="0066039E">
        <w:rPr>
          <w:rFonts w:ascii="仿宋" w:eastAsia="仿宋" w:hAnsi="仿宋" w:cs="仿宋" w:hint="eastAsia"/>
          <w:kern w:val="2"/>
          <w:szCs w:val="28"/>
        </w:rPr>
        <w:t>选择场景、数据集、评测标准以及任务执行时间,选择prompt调优算法策略，通过迭代优化生成对应任务效果最优的prompt。</w:t>
      </w:r>
    </w:p>
    <w:p w:rsidR="0066039E" w:rsidRPr="0066039E" w:rsidRDefault="0066039E" w:rsidP="0066039E">
      <w:pPr>
        <w:pStyle w:val="a9"/>
        <w:spacing w:before="0" w:beforeAutospacing="0" w:after="0" w:afterAutospacing="0" w:line="460" w:lineRule="exact"/>
        <w:ind w:firstLine="420"/>
        <w:rPr>
          <w:rFonts w:ascii="仿宋" w:eastAsia="仿宋" w:hAnsi="仿宋" w:cs="仿宋"/>
          <w:kern w:val="2"/>
          <w:szCs w:val="28"/>
        </w:rPr>
      </w:pPr>
      <w:r w:rsidRPr="0066039E">
        <w:rPr>
          <w:rFonts w:ascii="仿宋" w:eastAsia="仿宋" w:hAnsi="仿宋" w:cs="仿宋" w:hint="eastAsia"/>
          <w:b/>
          <w:bCs/>
          <w:kern w:val="2"/>
          <w:szCs w:val="28"/>
        </w:rPr>
        <w:t>2）评测流程构建执行：</w:t>
      </w:r>
      <w:r w:rsidRPr="0066039E">
        <w:rPr>
          <w:rFonts w:ascii="仿宋" w:eastAsia="仿宋" w:hAnsi="仿宋" w:cs="仿宋" w:hint="eastAsia"/>
          <w:kern w:val="2"/>
          <w:szCs w:val="28"/>
        </w:rPr>
        <w:t>选择场景、数据集、评测标准以及任务执行时间构建实时以及定时的评测任务并在任务执行后输出对应的评测报告。</w:t>
      </w:r>
    </w:p>
    <w:p w:rsidR="0066039E" w:rsidRPr="0066039E" w:rsidRDefault="0066039E" w:rsidP="0066039E">
      <w:pPr>
        <w:pStyle w:val="a9"/>
        <w:spacing w:before="0" w:beforeAutospacing="0" w:after="0" w:afterAutospacing="0" w:line="460" w:lineRule="exact"/>
        <w:ind w:firstLineChars="200" w:firstLine="482"/>
        <w:rPr>
          <w:rFonts w:ascii="仿宋" w:eastAsia="仿宋" w:hAnsi="仿宋" w:cs="仿宋"/>
          <w:kern w:val="2"/>
          <w:szCs w:val="28"/>
        </w:rPr>
      </w:pPr>
      <w:r w:rsidRPr="0066039E">
        <w:rPr>
          <w:rFonts w:ascii="仿宋" w:eastAsia="仿宋" w:hAnsi="仿宋" w:cs="仿宋" w:hint="eastAsia"/>
          <w:b/>
          <w:bCs/>
          <w:kern w:val="2"/>
          <w:szCs w:val="28"/>
        </w:rPr>
        <w:t>项目管理：</w:t>
      </w:r>
      <w:r w:rsidRPr="0066039E">
        <w:rPr>
          <w:rFonts w:ascii="仿宋" w:eastAsia="仿宋" w:hAnsi="仿宋" w:cs="仿宋" w:hint="eastAsia"/>
          <w:kern w:val="2"/>
          <w:szCs w:val="28"/>
        </w:rPr>
        <w:t>针对图片多模态、代码模型以及普通chat 模型大类别归类评测任务,针对具体任务需要提供在调优前后prompt对应的结果评分以及使用的评测标准。</w:t>
      </w:r>
    </w:p>
    <w:p w:rsidR="00A7126C" w:rsidRPr="0066039E" w:rsidRDefault="0066039E" w:rsidP="0066039E">
      <w:pPr>
        <w:widowControl/>
        <w:spacing w:line="360" w:lineRule="auto"/>
        <w:ind w:firstLine="482"/>
        <w:jc w:val="left"/>
        <w:rPr>
          <w:rFonts w:ascii="仿宋" w:eastAsia="仿宋" w:hAnsi="仿宋" w:cs="宋体"/>
          <w:color w:val="000000"/>
          <w:kern w:val="0"/>
          <w:sz w:val="22"/>
          <w:szCs w:val="24"/>
        </w:rPr>
      </w:pPr>
      <w:r w:rsidRPr="0066039E">
        <w:rPr>
          <w:rFonts w:ascii="仿宋" w:eastAsia="仿宋" w:hAnsi="仿宋" w:cs="仿宋" w:hint="eastAsia"/>
          <w:b/>
          <w:bCs/>
          <w:sz w:val="24"/>
          <w:szCs w:val="28"/>
        </w:rPr>
        <w:t xml:space="preserve">权限管理: </w:t>
      </w:r>
      <w:r w:rsidRPr="0066039E">
        <w:rPr>
          <w:rFonts w:ascii="仿宋" w:eastAsia="仿宋" w:hAnsi="仿宋" w:cs="仿宋"/>
          <w:sz w:val="24"/>
          <w:szCs w:val="28"/>
        </w:rPr>
        <w:t>对于流程中不同的角色，平台需要提供差异化的功能。此外，平台还需要对标注数据提供数据隔离机制，不同角色、不同级别的人所能看到数据不同，以保障企业数据资产的安全。</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6.任务要求</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lastRenderedPageBreak/>
        <w:t>【开发说明】</w:t>
      </w:r>
    </w:p>
    <w:p w:rsidR="00A7126C" w:rsidRDefault="00A4309B" w:rsidP="00A7126C">
      <w:pPr>
        <w:widowControl/>
        <w:spacing w:line="360" w:lineRule="auto"/>
        <w:ind w:firstLine="482"/>
        <w:jc w:val="left"/>
        <w:rPr>
          <w:rFonts w:ascii="仿宋" w:eastAsia="仿宋" w:hAnsi="仿宋" w:cs="宋体"/>
          <w:color w:val="000000"/>
          <w:kern w:val="0"/>
          <w:sz w:val="24"/>
          <w:szCs w:val="24"/>
        </w:rPr>
      </w:pPr>
      <w:r w:rsidRPr="00A4309B">
        <w:rPr>
          <w:rFonts w:ascii="仿宋" w:eastAsia="仿宋" w:hAnsi="仿宋" w:cs="宋体"/>
          <w:color w:val="000000"/>
          <w:kern w:val="0"/>
          <w:sz w:val="24"/>
          <w:szCs w:val="24"/>
        </w:rPr>
        <w:t>系统总体结构</w:t>
      </w:r>
    </w:p>
    <w:p w:rsidR="00A4309B" w:rsidRPr="00827D35" w:rsidRDefault="00A4309B" w:rsidP="00A7126C">
      <w:pPr>
        <w:widowControl/>
        <w:spacing w:line="360" w:lineRule="auto"/>
        <w:ind w:firstLine="482"/>
        <w:jc w:val="left"/>
        <w:rPr>
          <w:rFonts w:ascii="仿宋" w:eastAsia="仿宋" w:hAnsi="仿宋" w:cs="宋体" w:hint="eastAsia"/>
          <w:color w:val="000000"/>
          <w:kern w:val="0"/>
          <w:sz w:val="24"/>
          <w:szCs w:val="24"/>
        </w:rPr>
      </w:pPr>
      <w:r>
        <w:rPr>
          <w:noProof/>
        </w:rPr>
        <mc:AlternateContent>
          <mc:Choice Requires="wpc">
            <w:drawing>
              <wp:inline distT="0" distB="0" distL="114300" distR="114300" wp14:anchorId="5C372326" wp14:editId="4A4C44AB">
                <wp:extent cx="5274310" cy="1560121"/>
                <wp:effectExtent l="0" t="0" r="154940" b="2540"/>
                <wp:docPr id="2" name="画布 2"/>
                <wp:cNvGraphicFramePr/>
                <a:graphic xmlns:a="http://schemas.openxmlformats.org/drawingml/2006/main">
                  <a:graphicData uri="http://schemas.microsoft.com/office/word/2010/wordprocessingCanvas">
                    <wpc:wpc>
                      <wpc:bg/>
                      <wpc:whole/>
                      <wps:wsp>
                        <wps:cNvPr id="4" name="流程图: 过程 4"/>
                        <wps:cNvSpPr/>
                        <wps:spPr>
                          <a:xfrm>
                            <a:off x="1694815" y="62230"/>
                            <a:ext cx="2037080" cy="508000"/>
                          </a:xfrm>
                          <a:prstGeom prst="flowChartProcess">
                            <a:avLst/>
                          </a:prstGeom>
                        </wps:spPr>
                        <wps:style>
                          <a:lnRef idx="2">
                            <a:schemeClr val="accent1">
                              <a:lumMod val="75000"/>
                            </a:schemeClr>
                          </a:lnRef>
                          <a:fillRef idx="1">
                            <a:schemeClr val="accent1"/>
                          </a:fillRef>
                          <a:effectRef idx="0">
                            <a:srgbClr val="FFFFFF"/>
                          </a:effectRef>
                          <a:fontRef idx="minor">
                            <a:schemeClr val="lt1"/>
                          </a:fontRef>
                        </wps:style>
                        <wps:txbx>
                          <w:txbxContent>
                            <w:p w:rsidR="00A4309B" w:rsidRDefault="00A4309B" w:rsidP="00A4309B">
                              <w:pPr>
                                <w:jc w:val="center"/>
                              </w:pPr>
                              <w:r>
                                <w:rPr>
                                  <w:rFonts w:hint="eastAsia"/>
                                </w:rPr>
                                <w:t>大模型能力评测与prompt调优系统</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流程图: 过程 5"/>
                        <wps:cNvSpPr/>
                        <wps:spPr>
                          <a:xfrm>
                            <a:off x="109855" y="992505"/>
                            <a:ext cx="736600" cy="526415"/>
                          </a:xfrm>
                          <a:prstGeom prst="flowChartProcess">
                            <a:avLst/>
                          </a:prstGeom>
                        </wps:spPr>
                        <wps:style>
                          <a:lnRef idx="2">
                            <a:schemeClr val="accent1">
                              <a:lumMod val="75000"/>
                            </a:schemeClr>
                          </a:lnRef>
                          <a:fillRef idx="1">
                            <a:schemeClr val="accent1"/>
                          </a:fillRef>
                          <a:effectRef idx="0">
                            <a:srgbClr val="FFFFFF"/>
                          </a:effectRef>
                          <a:fontRef idx="minor">
                            <a:schemeClr val="lt1"/>
                          </a:fontRef>
                        </wps:style>
                        <wps:txbx>
                          <w:txbxContent>
                            <w:p w:rsidR="00A4309B" w:rsidRDefault="00A4309B" w:rsidP="00A4309B">
                              <w:pPr>
                                <w:jc w:val="center"/>
                              </w:pPr>
                              <w:r>
                                <w:rPr>
                                  <w:rFonts w:hint="eastAsia"/>
                                </w:rPr>
                                <w:t>评测数据管理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流程图: 过程 6"/>
                        <wps:cNvSpPr/>
                        <wps:spPr>
                          <a:xfrm>
                            <a:off x="884555" y="992505"/>
                            <a:ext cx="736600" cy="526415"/>
                          </a:xfrm>
                          <a:prstGeom prst="flowChartProcess">
                            <a:avLst/>
                          </a:prstGeom>
                        </wps:spPr>
                        <wps:style>
                          <a:lnRef idx="2">
                            <a:schemeClr val="accent1">
                              <a:lumMod val="75000"/>
                            </a:schemeClr>
                          </a:lnRef>
                          <a:fillRef idx="1">
                            <a:schemeClr val="accent1"/>
                          </a:fillRef>
                          <a:effectRef idx="0">
                            <a:srgbClr val="FFFFFF"/>
                          </a:effectRef>
                          <a:fontRef idx="minor">
                            <a:schemeClr val="lt1"/>
                          </a:fontRef>
                        </wps:style>
                        <wps:txbx>
                          <w:txbxContent>
                            <w:p w:rsidR="00A4309B" w:rsidRDefault="00A4309B" w:rsidP="00A4309B">
                              <w:pPr>
                                <w:jc w:val="center"/>
                              </w:pPr>
                              <w:r>
                                <w:rPr>
                                  <w:rFonts w:hint="eastAsia"/>
                                </w:rPr>
                                <w:t>评测标准管理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流程图: 过程 7"/>
                        <wps:cNvSpPr/>
                        <wps:spPr>
                          <a:xfrm>
                            <a:off x="2382520" y="986155"/>
                            <a:ext cx="648335" cy="539115"/>
                          </a:xfrm>
                          <a:prstGeom prst="flowChartProcess">
                            <a:avLst/>
                          </a:prstGeom>
                        </wps:spPr>
                        <wps:style>
                          <a:lnRef idx="2">
                            <a:schemeClr val="accent1">
                              <a:lumMod val="75000"/>
                            </a:schemeClr>
                          </a:lnRef>
                          <a:fillRef idx="1">
                            <a:schemeClr val="accent1"/>
                          </a:fillRef>
                          <a:effectRef idx="0">
                            <a:srgbClr val="FFFFFF"/>
                          </a:effectRef>
                          <a:fontRef idx="minor">
                            <a:schemeClr val="lt1"/>
                          </a:fontRef>
                        </wps:style>
                        <wps:txbx>
                          <w:txbxContent>
                            <w:p w:rsidR="00A4309B" w:rsidRDefault="00A4309B" w:rsidP="00A4309B">
                              <w:pPr>
                                <w:jc w:val="center"/>
                              </w:pPr>
                              <w:r>
                                <w:rPr>
                                  <w:rFonts w:hint="eastAsia"/>
                                </w:rPr>
                                <w:t>数据发布管理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流程图: 过程 8"/>
                        <wps:cNvSpPr/>
                        <wps:spPr>
                          <a:xfrm>
                            <a:off x="3888105" y="992505"/>
                            <a:ext cx="736600" cy="526415"/>
                          </a:xfrm>
                          <a:prstGeom prst="flowChartProcess">
                            <a:avLst/>
                          </a:prstGeom>
                        </wps:spPr>
                        <wps:style>
                          <a:lnRef idx="2">
                            <a:schemeClr val="accent1">
                              <a:lumMod val="75000"/>
                            </a:schemeClr>
                          </a:lnRef>
                          <a:fillRef idx="1">
                            <a:schemeClr val="accent1"/>
                          </a:fillRef>
                          <a:effectRef idx="0">
                            <a:srgbClr val="FFFFFF"/>
                          </a:effectRef>
                          <a:fontRef idx="minor">
                            <a:schemeClr val="lt1"/>
                          </a:fontRef>
                        </wps:style>
                        <wps:txbx>
                          <w:txbxContent>
                            <w:p w:rsidR="00A4309B" w:rsidRDefault="00A4309B" w:rsidP="00A4309B">
                              <w:pPr>
                                <w:jc w:val="center"/>
                              </w:pPr>
                              <w:r>
                                <w:rPr>
                                  <w:rFonts w:hint="eastAsia"/>
                                </w:rPr>
                                <w:t>项目管理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流程图: 过程 9"/>
                        <wps:cNvSpPr/>
                        <wps:spPr>
                          <a:xfrm>
                            <a:off x="3107055" y="992505"/>
                            <a:ext cx="736600" cy="526415"/>
                          </a:xfrm>
                          <a:prstGeom prst="flowChartProcess">
                            <a:avLst/>
                          </a:prstGeom>
                        </wps:spPr>
                        <wps:style>
                          <a:lnRef idx="2">
                            <a:schemeClr val="accent1">
                              <a:lumMod val="75000"/>
                            </a:schemeClr>
                          </a:lnRef>
                          <a:fillRef idx="1">
                            <a:schemeClr val="accent1"/>
                          </a:fillRef>
                          <a:effectRef idx="0">
                            <a:srgbClr val="FFFFFF"/>
                          </a:effectRef>
                          <a:fontRef idx="minor">
                            <a:schemeClr val="lt1"/>
                          </a:fontRef>
                        </wps:style>
                        <wps:txbx>
                          <w:txbxContent>
                            <w:p w:rsidR="00A4309B" w:rsidRDefault="00A4309B" w:rsidP="00A4309B">
                              <w:pPr>
                                <w:jc w:val="center"/>
                              </w:pPr>
                              <w:r>
                                <w:rPr>
                                  <w:rFonts w:hint="eastAsia"/>
                                </w:rPr>
                                <w:t>标准发布管理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流程图: 过程 10"/>
                        <wps:cNvSpPr/>
                        <wps:spPr>
                          <a:xfrm>
                            <a:off x="4669155" y="992505"/>
                            <a:ext cx="736600" cy="526415"/>
                          </a:xfrm>
                          <a:prstGeom prst="flowChartProcess">
                            <a:avLst/>
                          </a:prstGeom>
                        </wps:spPr>
                        <wps:style>
                          <a:lnRef idx="2">
                            <a:schemeClr val="accent1">
                              <a:lumMod val="75000"/>
                            </a:schemeClr>
                          </a:lnRef>
                          <a:fillRef idx="1">
                            <a:schemeClr val="accent1"/>
                          </a:fillRef>
                          <a:effectRef idx="0">
                            <a:srgbClr val="FFFFFF"/>
                          </a:effectRef>
                          <a:fontRef idx="minor">
                            <a:schemeClr val="lt1"/>
                          </a:fontRef>
                        </wps:style>
                        <wps:txbx>
                          <w:txbxContent>
                            <w:p w:rsidR="00A4309B" w:rsidRDefault="00A4309B" w:rsidP="00A4309B">
                              <w:pPr>
                                <w:jc w:val="center"/>
                              </w:pPr>
                              <w:r>
                                <w:rPr>
                                  <w:rFonts w:hint="eastAsia"/>
                                </w:rPr>
                                <w:t>权限管理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流程图: 过程 11"/>
                        <wps:cNvSpPr/>
                        <wps:spPr>
                          <a:xfrm>
                            <a:off x="1652905" y="992505"/>
                            <a:ext cx="692150" cy="526415"/>
                          </a:xfrm>
                          <a:prstGeom prst="flowChartProcess">
                            <a:avLst/>
                          </a:prstGeom>
                        </wps:spPr>
                        <wps:style>
                          <a:lnRef idx="2">
                            <a:schemeClr val="accent1">
                              <a:lumMod val="75000"/>
                            </a:schemeClr>
                          </a:lnRef>
                          <a:fillRef idx="1">
                            <a:schemeClr val="accent1"/>
                          </a:fillRef>
                          <a:effectRef idx="0">
                            <a:srgbClr val="FFFFFF"/>
                          </a:effectRef>
                          <a:fontRef idx="minor">
                            <a:schemeClr val="lt1"/>
                          </a:fontRef>
                        </wps:style>
                        <wps:txbx>
                          <w:txbxContent>
                            <w:p w:rsidR="00A4309B" w:rsidRDefault="00A4309B" w:rsidP="00A4309B">
                              <w:pPr>
                                <w:jc w:val="center"/>
                              </w:pPr>
                              <w:r>
                                <w:rPr>
                                  <w:rFonts w:hint="eastAsia"/>
                                </w:rPr>
                                <w:t>模型接入管理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肘形连接符 16"/>
                        <wps:cNvCnPr/>
                        <wps:spPr>
                          <a:xfrm rot="5400000" flipV="1">
                            <a:off x="3289935" y="-19050"/>
                            <a:ext cx="422275" cy="1599565"/>
                          </a:xfrm>
                          <a:prstGeom prst="bentConnector3">
                            <a:avLst>
                              <a:gd name="adj1" fmla="val 50000"/>
                            </a:avLst>
                          </a:prstGeom>
                        </wps:spPr>
                        <wps:style>
                          <a:lnRef idx="2">
                            <a:schemeClr val="accent1"/>
                          </a:lnRef>
                          <a:fillRef idx="0">
                            <a:srgbClr val="FFFFFF"/>
                          </a:fillRef>
                          <a:effectRef idx="0">
                            <a:srgbClr val="FFFFFF"/>
                          </a:effectRef>
                          <a:fontRef idx="minor">
                            <a:schemeClr val="tx1"/>
                          </a:fontRef>
                        </wps:style>
                        <wps:bodyPr/>
                      </wps:wsp>
                      <wps:wsp>
                        <wps:cNvPr id="17" name="肘形连接符 17"/>
                        <wps:cNvCnPr>
                          <a:stCxn id="4" idx="2"/>
                          <a:endCxn id="6" idx="0"/>
                        </wps:cNvCnPr>
                        <wps:spPr>
                          <a:xfrm rot="5400000">
                            <a:off x="1771968" y="51118"/>
                            <a:ext cx="422275" cy="1460500"/>
                          </a:xfrm>
                          <a:prstGeom prst="bentConnector3">
                            <a:avLst>
                              <a:gd name="adj1" fmla="val 50000"/>
                            </a:avLst>
                          </a:prstGeom>
                        </wps:spPr>
                        <wps:style>
                          <a:lnRef idx="2">
                            <a:schemeClr val="accent1"/>
                          </a:lnRef>
                          <a:fillRef idx="0">
                            <a:srgbClr val="FFFFFF"/>
                          </a:fillRef>
                          <a:effectRef idx="0">
                            <a:srgbClr val="FFFFFF"/>
                          </a:effectRef>
                          <a:fontRef idx="minor">
                            <a:schemeClr val="tx1"/>
                          </a:fontRef>
                        </wps:style>
                        <wps:bodyPr/>
                      </wps:wsp>
                      <wps:wsp>
                        <wps:cNvPr id="18" name="肘形连接符 18"/>
                        <wps:cNvCnPr>
                          <a:endCxn id="5" idx="0"/>
                        </wps:cNvCnPr>
                        <wps:spPr>
                          <a:xfrm rot="10800000" flipV="1">
                            <a:off x="478155" y="777875"/>
                            <a:ext cx="2235200" cy="214630"/>
                          </a:xfrm>
                          <a:prstGeom prst="bentConnector2">
                            <a:avLst/>
                          </a:prstGeom>
                        </wps:spPr>
                        <wps:style>
                          <a:lnRef idx="2">
                            <a:schemeClr val="accent1"/>
                          </a:lnRef>
                          <a:fillRef idx="0">
                            <a:srgbClr val="FFFFFF"/>
                          </a:fillRef>
                          <a:effectRef idx="0">
                            <a:srgbClr val="FFFFFF"/>
                          </a:effectRef>
                          <a:fontRef idx="minor">
                            <a:schemeClr val="tx1"/>
                          </a:fontRef>
                        </wps:style>
                        <wps:bodyPr/>
                      </wps:wsp>
                      <wps:wsp>
                        <wps:cNvPr id="19" name="肘形连接符 19"/>
                        <wps:cNvCnPr>
                          <a:endCxn id="10" idx="0"/>
                        </wps:cNvCnPr>
                        <wps:spPr>
                          <a:xfrm>
                            <a:off x="2713355" y="777875"/>
                            <a:ext cx="2324100" cy="214630"/>
                          </a:xfrm>
                          <a:prstGeom prst="bentConnector2">
                            <a:avLst/>
                          </a:prstGeom>
                        </wps:spPr>
                        <wps:style>
                          <a:lnRef idx="2">
                            <a:schemeClr val="accent1"/>
                          </a:lnRef>
                          <a:fillRef idx="0">
                            <a:srgbClr val="FFFFFF"/>
                          </a:fillRef>
                          <a:effectRef idx="0">
                            <a:srgbClr val="FFFFFF"/>
                          </a:effectRef>
                          <a:fontRef idx="minor">
                            <a:schemeClr val="tx1"/>
                          </a:fontRef>
                        </wps:style>
                        <wps:bodyPr/>
                      </wps:wsp>
                      <wps:wsp>
                        <wps:cNvPr id="20" name="肘形连接符 20"/>
                        <wps:cNvCnPr>
                          <a:stCxn id="4" idx="2"/>
                          <a:endCxn id="11" idx="0"/>
                        </wps:cNvCnPr>
                        <wps:spPr>
                          <a:xfrm rot="5400000">
                            <a:off x="2145030" y="424180"/>
                            <a:ext cx="422275" cy="714375"/>
                          </a:xfrm>
                          <a:prstGeom prst="bentConnector3">
                            <a:avLst>
                              <a:gd name="adj1" fmla="val 50075"/>
                            </a:avLst>
                          </a:prstGeom>
                        </wps:spPr>
                        <wps:style>
                          <a:lnRef idx="2">
                            <a:schemeClr val="accent1"/>
                          </a:lnRef>
                          <a:fillRef idx="0">
                            <a:srgbClr val="FFFFFF"/>
                          </a:fillRef>
                          <a:effectRef idx="0">
                            <a:srgbClr val="FFFFFF"/>
                          </a:effectRef>
                          <a:fontRef idx="minor">
                            <a:schemeClr val="tx1"/>
                          </a:fontRef>
                        </wps:style>
                        <wps:bodyPr/>
                      </wps:wsp>
                      <wps:wsp>
                        <wps:cNvPr id="21" name="肘形连接符 21"/>
                        <wps:cNvCnPr/>
                        <wps:spPr>
                          <a:xfrm>
                            <a:off x="2732405" y="784225"/>
                            <a:ext cx="755650" cy="205105"/>
                          </a:xfrm>
                          <a:prstGeom prst="bentConnector3">
                            <a:avLst>
                              <a:gd name="adj1" fmla="val 99663"/>
                            </a:avLst>
                          </a:prstGeom>
                        </wps:spPr>
                        <wps:style>
                          <a:lnRef idx="2">
                            <a:schemeClr val="accent1"/>
                          </a:lnRef>
                          <a:fillRef idx="0">
                            <a:srgbClr val="FFFFFF"/>
                          </a:fillRef>
                          <a:effectRef idx="0">
                            <a:srgbClr val="FFFFFF"/>
                          </a:effectRef>
                          <a:fontRef idx="minor">
                            <a:schemeClr val="tx1"/>
                          </a:fontRef>
                        </wps:style>
                        <wps:bodyPr/>
                      </wps:wsp>
                      <wps:wsp>
                        <wps:cNvPr id="22" name="肘形连接符 22"/>
                        <wps:cNvCnPr>
                          <a:endCxn id="7" idx="0"/>
                        </wps:cNvCnPr>
                        <wps:spPr>
                          <a:xfrm rot="5400000" flipV="1">
                            <a:off x="2597785" y="876935"/>
                            <a:ext cx="214630" cy="3175"/>
                          </a:xfrm>
                          <a:prstGeom prst="bentConnector2">
                            <a:avLst/>
                          </a:prstGeom>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5C372326" id="画布 2" o:spid="_x0000_s1026" editas="canvas" style="width:415.3pt;height:122.85pt;mso-position-horizontal-relative:char;mso-position-vertical-relative:line" coordsize="52743,1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dtEQYAAN4wAAAOAAAAZHJzL2Uyb0RvYy54bWzsW01v40QYviPxHyzft/H429GmqyqrIqSF&#10;rSgfZ8exGyPbY8bTJuUGFw5InJGQOCCBOHDlCPtr9uNn8MyMPUnaZJuW3W5A3oN3nBnP1/s87/vO&#10;+04fPlqUhXGRsian1cgkB5ZppFVCp3l1NjI/+/T4QWgaDY+raVzQKh2Zl2ljPjp8/72H83qY2nRG&#10;i2nKDHRSNcN5PTJnnNfDwaBJZmkZNwe0TitUZpSVMccrOxtMWTxH72UxsC3LH8wpm9aMJmnT4NfH&#10;qtI8lP1nWZrwp1nWpNwoRibmxuWTyedEPAeHD+PhGYvrWZ6004jvMIsyzisMqrt6HPPYOGf5ta7K&#10;PGG0oRk/SGg5oFmWJ6lcA1ZDrCurGcfVRdzIxSTYnW6CKL3Bfidn2AN0OZxDGKksQxRNrYXS/LvB&#10;Tmdxnco1NMPk44sTZuTTkemaRhWXAMSLP795+fv3z3/6e2i8evYdioYrhDKvZevT+oS1bw2KYocX&#10;GSvF/9g7YwHI+ZEbEs80Lkemb9tOK9J0wY0E1bblBFYIySeo91CyZIPBsp+aNfyDlJaGKIzMrKDz&#10;8Sxm/ESBSko1vnjScMwDn3XN8SLmqGYlS/yySMXEiuqTNMMixejyawnmdFww4yIGDOMkSStOZFVx&#10;Xn5Ep+r3wFtOTn8ix5Q9iq6zvCh056oH3XK9czXZtr34NJVk0B9bambsbKLndSz/ic3HMnVzOSyt&#10;uP6yzCvKNq2rwJraYVX7bovUxog94ovJAk1EcUKnl8ACo4qSTZ0c5xDAk7jhJzEDByEz6BX+FA8h&#10;k5FJ25JpzCj7etPvoj3AilrTmIPTI7P56jxmqWkUH1aAcURcVygB+eJ6gY0XtlozWa2pzssxhbwI&#10;NFidyKJoz4uumDFafgH1cyRGRVVcJRh7ZCacdS9jrnQNFFiSHh3JZiB+HfMn1amgsRJiRY/OOc1y&#10;ibHl7rQbCDKqPXvrrASNtrHSux0rrSj0FCmjyPYs+TVQ1bIycHwfRFSktH0X/FXI6cjdsawn5f2Q&#10;UupkSd8l+npuSi23L9z0t3PTvxU3w9D1em5etcat5VIGdq8MpuSm3Ym4t5t7aDeD7dwMOsHB973Z&#10;m7Wd0PaEWwJvNQp9Ap4CmEvD6buh48CuSm/WiUhvOKWf/e68WUlOp5NxT849JCciENuc2rAT3E7k&#10;dMIwJHBlJTl7r7Y7x+655dThhJ6ce0jOaDs5o9uRk1iB1bu1/zG3VkcVenLuITkJHNFtphN1UPwi&#10;WrCT7XR9PxLebG8712LAe247dWChp+c+0hOR6a301MG8nehJfM+OXuPa+pFNvD5gu0yLqPzOOz53&#10;6thCT899pKeO2L769sfnf/3y6tnPL3749eUfvxlE61WQc1xtTHGq6LvnIicoMiVZkdefd+miNvXp&#10;2GEUiWgQgkUPCOh7Jffp2rYdtMEi4kWR59+QZpkgLzmmVYWsOWWOjH7LzKeIQJ1NW10TT7+E3snK&#10;Ajk62DJDZC27nGrb+o2mSZWJ3JwCvYl/95r/5Isb85+Kp2JFwnG6v7we0QHKa1DUOqSFopB1w8eL&#10;Ska2kKZvE9mYNMKQ1bSrAbjb0Fu3HN2BWNtqtn4dyqKfLncfBCTyEZ8RuXlCiAzHLIOda/h1feC7&#10;w9mWNGGP3+Nj4ZXfLX+/z/jVMbxr+F0N4QlVegWmUH+3gymRd0S2qVw3wF0TpXGDIAihXRUvutsm&#10;toPofesn2cT11XUUyGMXxKrbIm/lrokCRa9Ed7t3tfnKEtGxqmsgXA1VbQChOEfvisIV9WgHBMme&#10;16DNsV3So+3/qfJEElAd7q6iDTWgcxt56dC2i8km8Nt2heFWmw2t5llQa8Jmu8Af7tatqcBVox0Q&#10;11EqckcNeAufU/fb+5zS4Gfb7ty9K5/T1tGJawBejU1sOf6sqUHouTY2EYTA1xWjG3g42HQ21/JE&#10;hk6Zu11s7q6IiyLfl2leILlH3J4izt6qMvX1GX1IWTvM4Hh0N8W48VxuexF8Q2W3w8AXR/Q1Fdk6&#10;hvISh0O0ItsFrr2LODLvdk7BiVveoZfQbS/8i1v6q+8or/5ZwuE/AAAA//8DAFBLAwQUAAYACAAA&#10;ACEAKLrLr9wAAAAFAQAADwAAAGRycy9kb3ducmV2LnhtbEyPzWrDMBCE74W+g9hCb43ktE2CazmE&#10;QE6Bkp8+wNra2G6slbHkxHn7qL20l4Vhhplvs+VoW3Gh3jeONSQTBYK4dKbhSsPXcfOyAOEDssHW&#10;MWm4kYdl/viQYWrclfd0OYRKxBL2KWqoQ+hSKX1Zk0U/cR1x9E6utxii7CtperzGctvKqVIzabHh&#10;uFBjR+uayvNhsBrcLenG3fFzt1fleb49JclQfG+0fn4aVx8gAo3hLww/+BEd8shUuIGNF62G+Ej4&#10;vdFbvKoZiELD9O19DjLP5H/6/A4AAP//AwBQSwECLQAUAAYACAAAACEAtoM4kv4AAADhAQAAEwAA&#10;AAAAAAAAAAAAAAAAAAAAW0NvbnRlbnRfVHlwZXNdLnhtbFBLAQItABQABgAIAAAAIQA4/SH/1gAA&#10;AJQBAAALAAAAAAAAAAAAAAAAAC8BAABfcmVscy8ucmVsc1BLAQItABQABgAIAAAAIQCrmQdtEQYA&#10;AN4wAAAOAAAAAAAAAAAAAAAAAC4CAABkcnMvZTJvRG9jLnhtbFBLAQItABQABgAIAAAAIQAousuv&#10;3AAAAAUBAAAPAAAAAAAAAAAAAAAAAGsIAABkcnMvZG93bnJldi54bWxQSwUGAAAAAAQABADzAAAA&#10;d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15595;visibility:visible;mso-wrap-style:square">
                  <v:fill o:detectmouseclick="t"/>
                  <v:path o:connecttype="none"/>
                </v:shape>
                <v:shapetype id="_x0000_t109" coordsize="21600,21600" o:spt="109" path="m,l,21600r21600,l21600,xe">
                  <v:stroke joinstyle="miter"/>
                  <v:path gradientshapeok="t" o:connecttype="rect"/>
                </v:shapetype>
                <v:shape id="流程图: 过程 4" o:spid="_x0000_s1028" type="#_x0000_t109" style="position:absolute;left:16948;top:622;width:20370;height:5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4OSwQAAANoAAAAPAAAAZHJzL2Rvd25yZXYueG1sRI9BawIx&#10;FITvgv8hPKE3zVqK6GoUEQSpoGhLvT42z822m5clibr+eyMIPQ4z8w0zW7S2FlfyoXKsYDjIQBAX&#10;TldcKvj+WvfHIEJE1lg7JgV3CrCYdzszzLW78YGux1iKBOGQowITY5NLGQpDFsPANcTJOztvMSbp&#10;S6k93hLc1vI9y0bSYsVpwWBDK0PF3/FiFXxum9/JebIf25/dCQ9h07qLN0q99drlFESkNv6HX+2N&#10;VvABzyvpBsj5AwAA//8DAFBLAQItABQABgAIAAAAIQDb4fbL7gAAAIUBAAATAAAAAAAAAAAAAAAA&#10;AAAAAABbQ29udGVudF9UeXBlc10ueG1sUEsBAi0AFAAGAAgAAAAhAFr0LFu/AAAAFQEAAAsAAAAA&#10;AAAAAAAAAAAAHwEAAF9yZWxzLy5yZWxzUEsBAi0AFAAGAAgAAAAhAGRbg5LBAAAA2gAAAA8AAAAA&#10;AAAAAAAAAAAABwIAAGRycy9kb3ducmV2LnhtbFBLBQYAAAAAAwADALcAAAD1AgAAAAA=&#10;" fillcolor="#5b9bd5 [3204]" strokecolor="#2e74b5 [2404]" strokeweight="1pt">
                  <v:textbox>
                    <w:txbxContent>
                      <w:p w:rsidR="00A4309B" w:rsidRDefault="00A4309B" w:rsidP="00A4309B">
                        <w:pPr>
                          <w:jc w:val="center"/>
                        </w:pPr>
                        <w:r>
                          <w:rPr>
                            <w:rFonts w:hint="eastAsia"/>
                          </w:rPr>
                          <w:t>大模型能力评测与prompt调优系统</w:t>
                        </w:r>
                      </w:p>
                    </w:txbxContent>
                  </v:textbox>
                </v:shape>
                <v:shape id="流程图: 过程 5" o:spid="_x0000_s1029" type="#_x0000_t109" style="position:absolute;left:1098;top:9925;width:7366;height:5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yYJwQAAANoAAAAPAAAAZHJzL2Rvd25yZXYueG1sRI9BawIx&#10;FITvgv8hPKE3zVqo6GoUEQSpoGhLvT42z822m5clibr+eyMIPQ4z8w0zW7S2FlfyoXKsYDjIQBAX&#10;TldcKvj+WvfHIEJE1lg7JgV3CrCYdzszzLW78YGux1iKBOGQowITY5NLGQpDFsPANcTJOztvMSbp&#10;S6k93hLc1vI9y0bSYsVpwWBDK0PF3/FiFXxum9/JebIf25/dCQ9h07qLN0q99drlFESkNv6HX+2N&#10;VvABzyvpBsj5AwAA//8DAFBLAQItABQABgAIAAAAIQDb4fbL7gAAAIUBAAATAAAAAAAAAAAAAAAA&#10;AAAAAABbQ29udGVudF9UeXBlc10ueG1sUEsBAi0AFAAGAAgAAAAhAFr0LFu/AAAAFQEAAAsAAAAA&#10;AAAAAAAAAAAAHwEAAF9yZWxzLy5yZWxzUEsBAi0AFAAGAAgAAAAhAAsXJgnBAAAA2gAAAA8AAAAA&#10;AAAAAAAAAAAABwIAAGRycy9kb3ducmV2LnhtbFBLBQYAAAAAAwADALcAAAD1AgAAAAA=&#10;" fillcolor="#5b9bd5 [3204]" strokecolor="#2e74b5 [2404]" strokeweight="1pt">
                  <v:textbox>
                    <w:txbxContent>
                      <w:p w:rsidR="00A4309B" w:rsidRDefault="00A4309B" w:rsidP="00A4309B">
                        <w:pPr>
                          <w:jc w:val="center"/>
                        </w:pPr>
                        <w:r>
                          <w:rPr>
                            <w:rFonts w:hint="eastAsia"/>
                          </w:rPr>
                          <w:t>评测数据管理</w:t>
                        </w:r>
                      </w:p>
                    </w:txbxContent>
                  </v:textbox>
                </v:shape>
                <v:shape id="流程图: 过程 6" o:spid="_x0000_s1030" type="#_x0000_t109" style="position:absolute;left:8845;top:9925;width:7366;height:5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bh+wgAAANoAAAAPAAAAZHJzL2Rvd25yZXYueG1sRI/NigIx&#10;EITvgu8QWvCmGT2IjkZZBEF2QfGH3WszaSfjTjpDEnV8eyMs7LGoqq+oxaq1tbiTD5VjBaNhBoK4&#10;cLriUsH5tBlMQYSIrLF2TAqeFGC17HYWmGv34APdj7EUCcIhRwUmxiaXMhSGLIaha4iTd3HeYkzS&#10;l1J7fCS4reU4yybSYsVpwWBDa0PF7/FmFXx+NdfZZbaf2u/dDx7CtnU3b5Tq99qPOYhIbfwP/7W3&#10;WsEE3lfSDZDLFwAAAP//AwBQSwECLQAUAAYACAAAACEA2+H2y+4AAACFAQAAEwAAAAAAAAAAAAAA&#10;AAAAAAAAW0NvbnRlbnRfVHlwZXNdLnhtbFBLAQItABQABgAIAAAAIQBa9CxbvwAAABUBAAALAAAA&#10;AAAAAAAAAAAAAB8BAABfcmVscy8ucmVsc1BLAQItABQABgAIAAAAIQD7xbh+wgAAANoAAAAPAAAA&#10;AAAAAAAAAAAAAAcCAABkcnMvZG93bnJldi54bWxQSwUGAAAAAAMAAwC3AAAA9gIAAAAA&#10;" fillcolor="#5b9bd5 [3204]" strokecolor="#2e74b5 [2404]" strokeweight="1pt">
                  <v:textbox>
                    <w:txbxContent>
                      <w:p w:rsidR="00A4309B" w:rsidRDefault="00A4309B" w:rsidP="00A4309B">
                        <w:pPr>
                          <w:jc w:val="center"/>
                        </w:pPr>
                        <w:r>
                          <w:rPr>
                            <w:rFonts w:hint="eastAsia"/>
                          </w:rPr>
                          <w:t>评测标准管理</w:t>
                        </w:r>
                      </w:p>
                    </w:txbxContent>
                  </v:textbox>
                </v:shape>
                <v:shape id="流程图: 过程 7" o:spid="_x0000_s1031" type="#_x0000_t109" style="position:absolute;left:23825;top:9861;width:6483;height:5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3lwgAAANoAAAAPAAAAZHJzL2Rvd25yZXYueG1sRI9BawIx&#10;FITvgv8hPKE3zdpD1dUoIghSQdGWen1snpttNy9LEnX990YQehxm5htmtmhtLa7kQ+VYwXCQgSAu&#10;nK64VPD9te6PQYSIrLF2TAruFGAx73ZmmGt34wNdj7EUCcIhRwUmxiaXMhSGLIaBa4iTd3beYkzS&#10;l1J7vCW4reV7ln1IixWnBYMNrQwVf8eLVfC5bX4n58l+bH92JzyETesu3ij11muXUxCR2vgffrU3&#10;WsEInlfSDZDzBwAAAP//AwBQSwECLQAUAAYACAAAACEA2+H2y+4AAACFAQAAEwAAAAAAAAAAAAAA&#10;AAAAAAAAW0NvbnRlbnRfVHlwZXNdLnhtbFBLAQItABQABgAIAAAAIQBa9CxbvwAAABUBAAALAAAA&#10;AAAAAAAAAAAAAB8BAABfcmVscy8ucmVsc1BLAQItABQABgAIAAAAIQCUiR3lwgAAANoAAAAPAAAA&#10;AAAAAAAAAAAAAAcCAABkcnMvZG93bnJldi54bWxQSwUGAAAAAAMAAwC3AAAA9gIAAAAA&#10;" fillcolor="#5b9bd5 [3204]" strokecolor="#2e74b5 [2404]" strokeweight="1pt">
                  <v:textbox>
                    <w:txbxContent>
                      <w:p w:rsidR="00A4309B" w:rsidRDefault="00A4309B" w:rsidP="00A4309B">
                        <w:pPr>
                          <w:jc w:val="center"/>
                        </w:pPr>
                        <w:r>
                          <w:rPr>
                            <w:rFonts w:hint="eastAsia"/>
                          </w:rPr>
                          <w:t>数据发布管理</w:t>
                        </w:r>
                      </w:p>
                    </w:txbxContent>
                  </v:textbox>
                </v:shape>
                <v:shape id="流程图: 过程 8" o:spid="_x0000_s1032" type="#_x0000_t109" style="position:absolute;left:38881;top:9925;width:7366;height:5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omXwAAAANoAAAAPAAAAZHJzL2Rvd25yZXYueG1sRE/Pa8Iw&#10;FL4P/B/CE7zNVA9SO6MMQZANHHVDr4/m2XRrXkoS2/rfL4fBjh/f781utK3oyYfGsYLFPANBXDnd&#10;cK3g6/PwnIMIEVlj65gUPCjAbjt52mCh3cAl9edYixTCoUAFJsaukDJUhiyGueuIE3dz3mJM0NdS&#10;exxSuG3lMstW0mLDqcFgR3tD1c/5bhW8vXff69v6I7eX0xXLcBzd3RulZtPx9QVEpDH+i//cR60g&#10;bU1X0g2Q218AAAD//wMAUEsBAi0AFAAGAAgAAAAhANvh9svuAAAAhQEAABMAAAAAAAAAAAAAAAAA&#10;AAAAAFtDb250ZW50X1R5cGVzXS54bWxQSwECLQAUAAYACAAAACEAWvQsW78AAAAVAQAACwAAAAAA&#10;AAAAAAAAAAAfAQAAX3JlbHMvLnJlbHNQSwECLQAUAAYACAAAACEA5RaJl8AAAADaAAAADwAAAAAA&#10;AAAAAAAAAAAHAgAAZHJzL2Rvd25yZXYueG1sUEsFBgAAAAADAAMAtwAAAPQCAAAAAA==&#10;" fillcolor="#5b9bd5 [3204]" strokecolor="#2e74b5 [2404]" strokeweight="1pt">
                  <v:textbox>
                    <w:txbxContent>
                      <w:p w:rsidR="00A4309B" w:rsidRDefault="00A4309B" w:rsidP="00A4309B">
                        <w:pPr>
                          <w:jc w:val="center"/>
                        </w:pPr>
                        <w:r>
                          <w:rPr>
                            <w:rFonts w:hint="eastAsia"/>
                          </w:rPr>
                          <w:t>项目管理</w:t>
                        </w:r>
                      </w:p>
                    </w:txbxContent>
                  </v:textbox>
                </v:shape>
                <v:shape id="流程图: 过程 9" o:spid="_x0000_s1033" type="#_x0000_t109" style="position:absolute;left:31070;top:9925;width:7366;height:5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iwMwwAAANoAAAAPAAAAZHJzL2Rvd25yZXYueG1sRI/NasMw&#10;EITvhb6D2EJutdwcQuxGNiFQCAmk5If0ulgby621MpKSuG9fFQo9DjPzDbOoR9uLG/nQOVbwkuUg&#10;iBunO24VnI5vz3MQISJr7B2Tgm8KUFePDwsstbvznm6H2IoE4VCiAhPjUEoZGkMWQ+YG4uRdnLcY&#10;k/St1B7vCW57Oc3zmbTYcVowONDKUPN1uFoFm+3wWVyK97k97z5wH9aju3qj1ORpXL6CiDTG//Bf&#10;e60VFPB7Jd0AWf0AAAD//wMAUEsBAi0AFAAGAAgAAAAhANvh9svuAAAAhQEAABMAAAAAAAAAAAAA&#10;AAAAAAAAAFtDb250ZW50X1R5cGVzXS54bWxQSwECLQAUAAYACAAAACEAWvQsW78AAAAVAQAACwAA&#10;AAAAAAAAAAAAAAAfAQAAX3JlbHMvLnJlbHNQSwECLQAUAAYACAAAACEAilosDMMAAADaAAAADwAA&#10;AAAAAAAAAAAAAAAHAgAAZHJzL2Rvd25yZXYueG1sUEsFBgAAAAADAAMAtwAAAPcCAAAAAA==&#10;" fillcolor="#5b9bd5 [3204]" strokecolor="#2e74b5 [2404]" strokeweight="1pt">
                  <v:textbox>
                    <w:txbxContent>
                      <w:p w:rsidR="00A4309B" w:rsidRDefault="00A4309B" w:rsidP="00A4309B">
                        <w:pPr>
                          <w:jc w:val="center"/>
                        </w:pPr>
                        <w:r>
                          <w:rPr>
                            <w:rFonts w:hint="eastAsia"/>
                          </w:rPr>
                          <w:t>标准发布管理</w:t>
                        </w:r>
                      </w:p>
                    </w:txbxContent>
                  </v:textbox>
                </v:shape>
                <v:shape id="流程图: 过程 10" o:spid="_x0000_s1034" type="#_x0000_t109" style="position:absolute;left:46691;top:9925;width:7366;height:5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nVwwAAANsAAAAPAAAAZHJzL2Rvd25yZXYueG1sRI9BawIx&#10;EIXvQv9DmEJvmtVD0dUoIgii0KIt7XXYjJvVzWRJom7/fedQ6G2G9+a9bxar3rfqTjE1gQ2MRwUo&#10;4irYhmsDnx/b4RRUysgW28Bk4IcSrJZPgwWWNjz4SPdTrpWEcCrRgMu5K7VOlSOPaRQ6YtHOIXrM&#10;ssZa24gPCfetnhTFq/bYsDQ47GjjqLqebt7A/tBdZufZ+9R/vX3jMe36cIvOmJfnfj0HlanP/+a/&#10;650VfKGXX2QAvfwFAAD//wMAUEsBAi0AFAAGAAgAAAAhANvh9svuAAAAhQEAABMAAAAAAAAAAAAA&#10;AAAAAAAAAFtDb250ZW50X1R5cGVzXS54bWxQSwECLQAUAAYACAAAACEAWvQsW78AAAAVAQAACwAA&#10;AAAAAAAAAAAAAAAfAQAAX3JlbHMvLnJlbHNQSwECLQAUAAYACAAAACEAug1Z1cMAAADbAAAADwAA&#10;AAAAAAAAAAAAAAAHAgAAZHJzL2Rvd25yZXYueG1sUEsFBgAAAAADAAMAtwAAAPcCAAAAAA==&#10;" fillcolor="#5b9bd5 [3204]" strokecolor="#2e74b5 [2404]" strokeweight="1pt">
                  <v:textbox>
                    <w:txbxContent>
                      <w:p w:rsidR="00A4309B" w:rsidRDefault="00A4309B" w:rsidP="00A4309B">
                        <w:pPr>
                          <w:jc w:val="center"/>
                        </w:pPr>
                        <w:r>
                          <w:rPr>
                            <w:rFonts w:hint="eastAsia"/>
                          </w:rPr>
                          <w:t>权限管理</w:t>
                        </w:r>
                      </w:p>
                    </w:txbxContent>
                  </v:textbox>
                </v:shape>
                <v:shape id="流程图: 过程 11" o:spid="_x0000_s1035" type="#_x0000_t109" style="position:absolute;left:16529;top:9925;width:6921;height:5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xOwAAAANsAAAAPAAAAZHJzL2Rvd25yZXYueG1sRE9Li8Iw&#10;EL4L+x/CLHjTVA+i1SjLwoIoKD7YvQ7N2NRtJiWJWv+9EQRv8/E9Z7ZobS2u5EPlWMGgn4EgLpyu&#10;uFRwPPz0xiBCRNZYOyYFdwqwmH90Zphrd+MdXfexFCmEQ44KTIxNLmUoDFkMfdcQJ+7kvMWYoC+l&#10;9nhL4baWwywbSYsVpwaDDX0bKv73F6tgtW7Ok9NkO7a/mz/chWXrLt4o1f1sv6YgIrXxLX65lzrN&#10;H8Dzl3SAnD8AAAD//wMAUEsBAi0AFAAGAAgAAAAhANvh9svuAAAAhQEAABMAAAAAAAAAAAAAAAAA&#10;AAAAAFtDb250ZW50X1R5cGVzXS54bWxQSwECLQAUAAYACAAAACEAWvQsW78AAAAVAQAACwAAAAAA&#10;AAAAAAAAAAAfAQAAX3JlbHMvLnJlbHNQSwECLQAUAAYACAAAACEA1UH8TsAAAADbAAAADwAAAAAA&#10;AAAAAAAAAAAHAgAAZHJzL2Rvd25yZXYueG1sUEsFBgAAAAADAAMAtwAAAPQCAAAAAA==&#10;" fillcolor="#5b9bd5 [3204]" strokecolor="#2e74b5 [2404]" strokeweight="1pt">
                  <v:textbox>
                    <w:txbxContent>
                      <w:p w:rsidR="00A4309B" w:rsidRDefault="00A4309B" w:rsidP="00A4309B">
                        <w:pPr>
                          <w:jc w:val="center"/>
                        </w:pPr>
                        <w:r>
                          <w:rPr>
                            <w:rFonts w:hint="eastAsia"/>
                          </w:rPr>
                          <w:t>模型接入管理</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6" o:spid="_x0000_s1036" type="#_x0000_t34" style="position:absolute;left:32898;top:-191;width:4223;height:1599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feZwQAAANsAAAAPAAAAZHJzL2Rvd25yZXYueG1sRE9La8JA&#10;EL4X+h+WKfRWNy0ltKmrSKng1QfqcZqdZkOysyE7mvjvXUHobT6+50zno2/VmfpYBzbwOslAEZfB&#10;1lwZ2G2XLx+goiBbbAOTgQtFmM8eH6ZY2DDwms4bqVQK4VigASfSFVrH0pHHOAkdceL+Qu9REuwr&#10;bXscUrhv9VuW5dpjzanBYUffjspmc/IGht/1+344rvLPo7itPkizaHY/xjw/jYsvUEKj/Ivv7pVN&#10;83O4/ZIO0LMrAAAA//8DAFBLAQItABQABgAIAAAAIQDb4fbL7gAAAIUBAAATAAAAAAAAAAAAAAAA&#10;AAAAAABbQ29udGVudF9UeXBlc10ueG1sUEsBAi0AFAAGAAgAAAAhAFr0LFu/AAAAFQEAAAsAAAAA&#10;AAAAAAAAAAAAHwEAAF9yZWxzLy5yZWxzUEsBAi0AFAAGAAgAAAAhADtF95nBAAAA2wAAAA8AAAAA&#10;AAAAAAAAAAAABwIAAGRycy9kb3ducmV2LnhtbFBLBQYAAAAAAwADALcAAAD1AgAAAAA=&#10;" strokecolor="#5b9bd5 [3204]" strokeweight="1pt"/>
                <v:shape id="肘形连接符 17" o:spid="_x0000_s1037" type="#_x0000_t34" style="position:absolute;left:17719;top:511;width:4223;height:1460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qb0wgAAANsAAAAPAAAAZHJzL2Rvd25yZXYueG1sRE9LawIx&#10;EL4L/ocwgjfNWouW1SgloHiw4KOFehs24+7iZrJsom7765uC4G0+vufMl62txI0aXzpWMBomIIgz&#10;Z0rOFXweV4M3ED4gG6wck4If8rBcdDtzTI27855uh5CLGMI+RQVFCHUqpc8KsuiHriaO3Nk1FkOE&#10;TS5Ng/cYbiv5kiQTabHk2FBgTbqg7HK4WgV693r6va712X1vd+MvbUtPH1qpfq99n4EI1Ian+OHe&#10;mDh/Cv+/xAPk4g8AAP//AwBQSwECLQAUAAYACAAAACEA2+H2y+4AAACFAQAAEwAAAAAAAAAAAAAA&#10;AAAAAAAAW0NvbnRlbnRfVHlwZXNdLnhtbFBLAQItABQABgAIAAAAIQBa9CxbvwAAABUBAAALAAAA&#10;AAAAAAAAAAAAAB8BAABfcmVscy8ucmVsc1BLAQItABQABgAIAAAAIQA8Jqb0wgAAANsAAAAPAAAA&#10;AAAAAAAAAAAAAAcCAABkcnMvZG93bnJldi54bWxQSwUGAAAAAAMAAwC3AAAA9gIAAAAA&#10;" strokecolor="#5b9bd5 [3204]" strokeweight="1pt"/>
                <v:shapetype id="_x0000_t33" coordsize="21600,21600" o:spt="33" o:oned="t" path="m,l21600,r,21600e" filled="f">
                  <v:stroke joinstyle="miter"/>
                  <v:path arrowok="t" fillok="f" o:connecttype="none"/>
                  <o:lock v:ext="edit" shapetype="t"/>
                </v:shapetype>
                <v:shape id="肘形连接符 18" o:spid="_x0000_s1038" type="#_x0000_t33" style="position:absolute;left:4781;top:7778;width:22352;height:2147;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BM/xQAAANsAAAAPAAAAZHJzL2Rvd25yZXYueG1sRI/BTsNA&#10;DETvlfiHlZG40U1BgpJ2W1VQRJFAhdAPsLImCWS9Uda06d/XB6TebM145nm+HEJr9tSnJrKDyTgD&#10;Q1xG33DlYPf1fD0FkwTZYxuZHBwpwXJxMZpj7uOBP2lfSGU0hFOODmqRLrc2lTUFTOPYEav2HfuA&#10;omtfWd/jQcNDa2+y7M4GbFgbauzosabyt/gLDqTdfGzXq7e1/5nc377w68NT8S7OXV0OqxkYoUHO&#10;5v/rjVd8hdVfdAC7OAEAAP//AwBQSwECLQAUAAYACAAAACEA2+H2y+4AAACFAQAAEwAAAAAAAAAA&#10;AAAAAAAAAAAAW0NvbnRlbnRfVHlwZXNdLnhtbFBLAQItABQABgAIAAAAIQBa9CxbvwAAABUBAAAL&#10;AAAAAAAAAAAAAAAAAB8BAABfcmVscy8ucmVsc1BLAQItABQABgAIAAAAIQCJdBM/xQAAANsAAAAP&#10;AAAAAAAAAAAAAAAAAAcCAABkcnMvZG93bnJldi54bWxQSwUGAAAAAAMAAwC3AAAA+QIAAAAA&#10;" strokecolor="#5b9bd5 [3204]" strokeweight="1pt"/>
                <v:shape id="肘形连接符 19" o:spid="_x0000_s1039" type="#_x0000_t33" style="position:absolute;left:27133;top:7778;width:23241;height:214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ZWxxQAAANsAAAAPAAAAZHJzL2Rvd25yZXYueG1sRI9Ba8JA&#10;EIXvQv/DMoXedFNRsamrFKGo4EFtKeQ2ZKdJ2uxsurtN4r93BcHbDO99b94sVr2pRUvOV5YVPI8S&#10;EMS51RUXCj4/3odzED4ga6wtk4IzeVgtHwYLTLXt+EjtKRQihrBPUUEZQpNK6fOSDPqRbYij9m2d&#10;wRBXV0jtsIvhppbjJJlJgxXHCyU2tC4p/z39m1gDz3/tV/ZT74vusJkeXDPJdplST4/92yuIQH24&#10;m2/0VkfuBa6/xAHk8gIAAP//AwBQSwECLQAUAAYACAAAACEA2+H2y+4AAACFAQAAEwAAAAAAAAAA&#10;AAAAAAAAAAAAW0NvbnRlbnRfVHlwZXNdLnhtbFBLAQItABQABgAIAAAAIQBa9CxbvwAAABUBAAAL&#10;AAAAAAAAAAAAAAAAAB8BAABfcmVscy8ucmVsc1BLAQItABQABgAIAAAAIQDqFZWxxQAAANsAAAAP&#10;AAAAAAAAAAAAAAAAAAcCAABkcnMvZG93bnJldi54bWxQSwUGAAAAAAMAAwC3AAAA+QIAAAAA&#10;" strokecolor="#5b9bd5 [3204]" strokeweight="1pt"/>
                <v:shape id="肘形连接符 20" o:spid="_x0000_s1040" type="#_x0000_t34" style="position:absolute;left:21449;top:4242;width:4223;height:714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SxawQAAANsAAAAPAAAAZHJzL2Rvd25yZXYueG1sRE/Pa8Iw&#10;FL4P9j+EN/AyNNWNMappGQVFhofZDbw+mmdS1rzUJmr33y8HwePH93tVjq4TFxpC61nBfJaBIG68&#10;btko+PleT99BhIissfNMCv4oQFk8Pqww1/7Ke7rU0YgUwiFHBTbGPpcyNJYchpnviRN39IPDmOBg&#10;pB7wmsJdJxdZ9iYdtpwaLPZUWWp+67NTUL88OxNOX5X5rHb+8LqxZ9pZpSZP48cSRKQx3sU391Yr&#10;WKT16Uv6AbL4BwAA//8DAFBLAQItABQABgAIAAAAIQDb4fbL7gAAAIUBAAATAAAAAAAAAAAAAAAA&#10;AAAAAABbQ29udGVudF9UeXBlc10ueG1sUEsBAi0AFAAGAAgAAAAhAFr0LFu/AAAAFQEAAAsAAAAA&#10;AAAAAAAAAAAAHwEAAF9yZWxzLy5yZWxzUEsBAi0AFAAGAAgAAAAhAN+FLFrBAAAA2wAAAA8AAAAA&#10;AAAAAAAAAAAABwIAAGRycy9kb3ducmV2LnhtbFBLBQYAAAAAAwADALcAAAD1AgAAAAA=&#10;" adj="10816" strokecolor="#5b9bd5 [3204]" strokeweight="1pt"/>
                <v:shape id="肘形连接符 21" o:spid="_x0000_s1041" type="#_x0000_t34" style="position:absolute;left:27324;top:7842;width:7556;height:205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wexAAAANsAAAAPAAAAZHJzL2Rvd25yZXYueG1sRI/BasMw&#10;EETvhf6D2EIvpZFtqAlulFACgTS32gnkuFhb28RaOZJiO39fFQo9DjPzhlltZtOLkZzvLCtIFwkI&#10;4trqjhsFx2r3ugThA7LG3jIpuJOHzfrxYYWFthN/0ViGRkQI+wIVtCEMhZS+bsmgX9iBOHrf1hkM&#10;UbpGaodThJteZkmSS4Mdx4UWB9q2VF/Km1GQp1t+OxtbXavTS/4p3WF36a5KPT/NH+8gAs3hP/zX&#10;3msFWQq/X+IPkOsfAAAA//8DAFBLAQItABQABgAIAAAAIQDb4fbL7gAAAIUBAAATAAAAAAAAAAAA&#10;AAAAAAAAAABbQ29udGVudF9UeXBlc10ueG1sUEsBAi0AFAAGAAgAAAAhAFr0LFu/AAAAFQEAAAsA&#10;AAAAAAAAAAAAAAAAHwEAAF9yZWxzLy5yZWxzUEsBAi0AFAAGAAgAAAAhAMWB/B7EAAAA2wAAAA8A&#10;AAAAAAAAAAAAAAAABwIAAGRycy9kb3ducmV2LnhtbFBLBQYAAAAAAwADALcAAAD4AgAAAAA=&#10;" adj="21527" strokecolor="#5b9bd5 [3204]" strokeweight="1pt"/>
                <v:shape id="肘形连接符 22" o:spid="_x0000_s1042" type="#_x0000_t33" style="position:absolute;left:25978;top:8769;width:2146;height:3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s3TxQAAANsAAAAPAAAAZHJzL2Rvd25yZXYueG1sRI9Ba8JA&#10;FITvBf/D8gQvopvmUEp0FREEe/CgVcHbI/tMVrNvY3Y1sb++Wyh4HGbmG2Y672wlHtR441jB+zgB&#10;QZw7bbhQsP9ejT5B+ICssXJMCp7kYT7rvU0x067lLT12oRARwj5DBWUIdSalz0uy6MeuJo7e2TUW&#10;Q5RNIXWDbYTbSqZJ8iEtGo4LJda0LCm/7u5WwWHYVubGx+NtNdxvzPn0s/laXpQa9LvFBESgLrzC&#10;/+21VpCm8Pcl/gA5+wUAAP//AwBQSwECLQAUAAYACAAAACEA2+H2y+4AAACFAQAAEwAAAAAAAAAA&#10;AAAAAAAAAAAAW0NvbnRlbnRfVHlwZXNdLnhtbFBLAQItABQABgAIAAAAIQBa9CxbvwAAABUBAAAL&#10;AAAAAAAAAAAAAAAAAB8BAABfcmVscy8ucmVsc1BLAQItABQABgAIAAAAIQAx2s3TxQAAANsAAAAP&#10;AAAAAAAAAAAAAAAAAAcCAABkcnMvZG93bnJldi54bWxQSwUGAAAAAAMAAwC3AAAA+QIAAAAA&#10;" strokecolor="#5b9bd5 [3204]" strokeweight="1pt"/>
                <w10:anchorlock/>
              </v:group>
            </w:pict>
          </mc:Fallback>
        </mc:AlternateConten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【技术要求与指标】</w:t>
      </w:r>
    </w:p>
    <w:p w:rsidR="00A4309B" w:rsidRPr="00A4309B" w:rsidRDefault="00A4309B" w:rsidP="00A4309B">
      <w:pPr>
        <w:pStyle w:val="a9"/>
        <w:numPr>
          <w:ilvl w:val="0"/>
          <w:numId w:val="1"/>
        </w:numPr>
        <w:spacing w:before="0" w:beforeAutospacing="0" w:after="0" w:afterAutospacing="0" w:line="460" w:lineRule="exact"/>
        <w:ind w:leftChars="230" w:left="903"/>
        <w:rPr>
          <w:rFonts w:ascii="仿宋" w:eastAsia="仿宋" w:hAnsi="仿宋" w:cs="仿宋"/>
          <w:kern w:val="2"/>
          <w:szCs w:val="28"/>
        </w:rPr>
      </w:pPr>
      <w:r w:rsidRPr="00A4309B">
        <w:rPr>
          <w:rFonts w:ascii="仿宋" w:eastAsia="仿宋" w:hAnsi="仿宋" w:cs="仿宋" w:hint="eastAsia"/>
          <w:kern w:val="2"/>
          <w:szCs w:val="28"/>
        </w:rPr>
        <w:t>开发语言：python/Java/JS 等</w:t>
      </w:r>
    </w:p>
    <w:p w:rsidR="00A4309B" w:rsidRPr="00A4309B" w:rsidRDefault="00A4309B" w:rsidP="00A4309B">
      <w:pPr>
        <w:pStyle w:val="a9"/>
        <w:numPr>
          <w:ilvl w:val="0"/>
          <w:numId w:val="1"/>
        </w:numPr>
        <w:spacing w:before="0" w:beforeAutospacing="0" w:after="0" w:afterAutospacing="0" w:line="460" w:lineRule="exact"/>
        <w:ind w:leftChars="230" w:left="903"/>
        <w:rPr>
          <w:rFonts w:ascii="仿宋" w:eastAsia="仿宋" w:hAnsi="仿宋" w:cs="仿宋"/>
          <w:kern w:val="2"/>
          <w:szCs w:val="28"/>
        </w:rPr>
      </w:pPr>
      <w:r w:rsidRPr="00A4309B">
        <w:rPr>
          <w:rFonts w:ascii="仿宋" w:eastAsia="仿宋" w:hAnsi="仿宋" w:cs="仿宋" w:hint="eastAsia"/>
          <w:kern w:val="2"/>
          <w:szCs w:val="28"/>
        </w:rPr>
        <w:t>系统采用流行的B/S体系结构</w:t>
      </w:r>
    </w:p>
    <w:p w:rsidR="00A4309B" w:rsidRPr="00A4309B" w:rsidRDefault="00A4309B" w:rsidP="00A4309B">
      <w:pPr>
        <w:pStyle w:val="a9"/>
        <w:numPr>
          <w:ilvl w:val="0"/>
          <w:numId w:val="1"/>
        </w:numPr>
        <w:spacing w:before="0" w:beforeAutospacing="0" w:after="0" w:afterAutospacing="0" w:line="460" w:lineRule="exact"/>
        <w:ind w:leftChars="230" w:left="903"/>
        <w:rPr>
          <w:rFonts w:ascii="仿宋" w:eastAsia="仿宋" w:hAnsi="仿宋" w:cs="仿宋"/>
          <w:kern w:val="2"/>
          <w:szCs w:val="28"/>
        </w:rPr>
      </w:pPr>
      <w:r w:rsidRPr="00A4309B">
        <w:rPr>
          <w:rFonts w:ascii="仿宋" w:eastAsia="仿宋" w:hAnsi="仿宋" w:cs="仿宋" w:hint="eastAsia"/>
          <w:kern w:val="2"/>
          <w:szCs w:val="28"/>
        </w:rPr>
        <w:t>应用服务器：Tomat / Jetty</w:t>
      </w:r>
    </w:p>
    <w:p w:rsidR="00A4309B" w:rsidRPr="00A4309B" w:rsidRDefault="00A4309B" w:rsidP="00A4309B">
      <w:pPr>
        <w:pStyle w:val="a9"/>
        <w:numPr>
          <w:ilvl w:val="0"/>
          <w:numId w:val="1"/>
        </w:numPr>
        <w:spacing w:before="0" w:beforeAutospacing="0" w:after="0" w:afterAutospacing="0" w:line="460" w:lineRule="exact"/>
        <w:ind w:leftChars="230" w:left="903"/>
        <w:rPr>
          <w:rFonts w:ascii="仿宋" w:eastAsia="仿宋" w:hAnsi="仿宋" w:cs="仿宋"/>
          <w:kern w:val="2"/>
          <w:szCs w:val="28"/>
        </w:rPr>
      </w:pPr>
      <w:r w:rsidRPr="00A4309B">
        <w:rPr>
          <w:rFonts w:ascii="仿宋" w:eastAsia="仿宋" w:hAnsi="仿宋" w:cs="仿宋" w:hint="eastAsia"/>
          <w:kern w:val="2"/>
          <w:szCs w:val="28"/>
        </w:rPr>
        <w:t>数据库服务器：mysql</w:t>
      </w:r>
    </w:p>
    <w:p w:rsidR="00A7126C" w:rsidRPr="00A4309B" w:rsidRDefault="00A4309B" w:rsidP="00A4309B">
      <w:pPr>
        <w:widowControl/>
        <w:spacing w:line="360" w:lineRule="auto"/>
        <w:ind w:leftChars="430" w:left="903"/>
        <w:jc w:val="left"/>
        <w:rPr>
          <w:rFonts w:ascii="仿宋" w:eastAsia="仿宋" w:hAnsi="仿宋" w:cs="宋体"/>
          <w:color w:val="000000"/>
          <w:kern w:val="0"/>
          <w:sz w:val="22"/>
          <w:szCs w:val="24"/>
        </w:rPr>
      </w:pPr>
      <w:r w:rsidRPr="00A4309B">
        <w:rPr>
          <w:rFonts w:ascii="仿宋" w:eastAsia="仿宋" w:hAnsi="仿宋" w:cs="仿宋" w:hint="eastAsia"/>
          <w:sz w:val="24"/>
          <w:szCs w:val="28"/>
        </w:rPr>
        <w:t>语料文件需要采用分布式文件系统存储，需要支持T级别数据量的语料数据管理。</w:t>
      </w:r>
    </w:p>
    <w:p w:rsidR="00A7126C"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【提交材料】</w:t>
      </w:r>
    </w:p>
    <w:p w:rsidR="000C7684" w:rsidRPr="00CA5EF2" w:rsidRDefault="000C7684" w:rsidP="00A7126C">
      <w:pPr>
        <w:widowControl/>
        <w:spacing w:line="360" w:lineRule="auto"/>
        <w:ind w:firstLine="484"/>
        <w:jc w:val="left"/>
        <w:rPr>
          <w:rFonts w:ascii="仿宋" w:eastAsia="仿宋" w:hAnsi="仿宋" w:cs="宋体" w:hint="eastAsia"/>
          <w:b/>
          <w:color w:val="000000"/>
          <w:kern w:val="0"/>
          <w:sz w:val="24"/>
          <w:szCs w:val="24"/>
        </w:rPr>
      </w:pPr>
      <w:r w:rsidRPr="000C7684">
        <w:rPr>
          <w:rFonts w:ascii="仿宋" w:eastAsia="仿宋" w:hAnsi="仿宋" w:cs="宋体" w:hint="eastAsia"/>
          <w:b/>
          <w:color w:val="000000"/>
          <w:kern w:val="0"/>
          <w:sz w:val="24"/>
          <w:szCs w:val="24"/>
        </w:rPr>
        <w:t>至少提供一个完整的任务的模型评测、</w:t>
      </w:r>
      <w:r w:rsidRPr="000C7684">
        <w:rPr>
          <w:rFonts w:ascii="仿宋" w:eastAsia="仿宋" w:hAnsi="仿宋" w:cs="宋体"/>
          <w:b/>
          <w:color w:val="000000"/>
          <w:kern w:val="0"/>
          <w:sz w:val="24"/>
          <w:szCs w:val="24"/>
        </w:rPr>
        <w:t>prompt自动调优以及对应的评测的完整例子，用户可以基于系统进行自动配置更多的评测数据以及对应的评测模型、评测标准并进行prompt调优功能生成对应任务最优的模型选型和效果最好的prompt。</w:t>
      </w:r>
      <w:r>
        <w:rPr>
          <w:rFonts w:ascii="仿宋" w:eastAsia="仿宋" w:hAnsi="仿宋" w:cs="宋体" w:hint="eastAsia"/>
          <w:b/>
          <w:color w:val="000000"/>
          <w:kern w:val="0"/>
          <w:sz w:val="24"/>
          <w:szCs w:val="24"/>
        </w:rPr>
        <w:t>并同时提供以下内容：</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（1）项目概要介绍;</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（2）项目简介 PPT;</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（3）项目详细方案;</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（4）项目演示视频;</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（5）企业要求提交的材料：</w:t>
      </w:r>
    </w:p>
    <w:p w:rsidR="00A7126C" w:rsidRPr="00827D35" w:rsidRDefault="00A7126C" w:rsidP="00AE761E">
      <w:pPr>
        <w:widowControl/>
        <w:spacing w:line="360" w:lineRule="auto"/>
        <w:ind w:leftChars="200" w:left="420"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①产品使用手册：包括产品功能架构、使用流程图和典型学习示例；</w:t>
      </w:r>
    </w:p>
    <w:p w:rsidR="00A7126C" w:rsidRPr="00827D35" w:rsidRDefault="00A7126C" w:rsidP="00AE761E">
      <w:pPr>
        <w:widowControl/>
        <w:spacing w:line="360" w:lineRule="auto"/>
        <w:ind w:leftChars="200" w:left="420"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②产品交互演示：对产品的交互过程进行录制，能够在实际乒乓球运动场中试验更佳；</w:t>
      </w:r>
    </w:p>
    <w:p w:rsidR="00A7126C" w:rsidRPr="00827D35" w:rsidRDefault="00A7126C" w:rsidP="00AE761E">
      <w:pPr>
        <w:widowControl/>
        <w:spacing w:line="360" w:lineRule="auto"/>
        <w:ind w:leftChars="200" w:left="420"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③项目的详细分工及过程文档：对团队成员的角色、分工、排期和过程进行记录。</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lastRenderedPageBreak/>
        <w:t>（6）团队自愿提交的其他补充材料。</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7.</w:t>
      </w:r>
      <w:r w:rsidRPr="00827D35">
        <w:rPr>
          <w:rFonts w:ascii="Calibri" w:eastAsia="楷体" w:hAnsi="Calibri" w:cs="Calibri"/>
          <w:color w:val="000000"/>
          <w:kern w:val="0"/>
          <w:sz w:val="28"/>
          <w:szCs w:val="24"/>
        </w:rPr>
        <w:t> </w:t>
      </w:r>
      <w:r w:rsidRPr="00827D35">
        <w:rPr>
          <w:rFonts w:ascii="楷体" w:eastAsia="楷体" w:hAnsi="楷体" w:cs="宋体" w:hint="eastAsia"/>
          <w:color w:val="000000"/>
          <w:kern w:val="0"/>
          <w:sz w:val="28"/>
          <w:szCs w:val="24"/>
        </w:rPr>
        <w:t>其他</w:t>
      </w:r>
    </w:p>
    <w:p w:rsidR="001B5A61" w:rsidRPr="001B5A61" w:rsidRDefault="001B5A61" w:rsidP="001B5A61">
      <w:pPr>
        <w:widowControl/>
        <w:spacing w:line="360" w:lineRule="auto"/>
        <w:ind w:firstLine="482"/>
        <w:jc w:val="left"/>
        <w:rPr>
          <w:rFonts w:ascii="仿宋" w:eastAsia="仿宋" w:hAnsi="仿宋" w:cs="宋体"/>
          <w:color w:val="000000"/>
          <w:kern w:val="0"/>
          <w:sz w:val="24"/>
          <w:szCs w:val="24"/>
        </w:rPr>
      </w:pPr>
      <w:r w:rsidRPr="001B5A61">
        <w:rPr>
          <w:rFonts w:ascii="仿宋" w:eastAsia="仿宋" w:hAnsi="仿宋" w:cs="宋体" w:hint="eastAsia"/>
          <w:color w:val="000000"/>
          <w:kern w:val="0"/>
          <w:sz w:val="24"/>
          <w:szCs w:val="24"/>
        </w:rPr>
        <w:t>1）大模型评测和prompt调优可以基于业界开源数据集进行验证和演示，如公开数据集（比如:RepLiQA)</w:t>
      </w:r>
    </w:p>
    <w:p w:rsidR="001B5A61" w:rsidRDefault="001B5A61" w:rsidP="001B5A61">
      <w:pPr>
        <w:widowControl/>
        <w:spacing w:line="360" w:lineRule="auto"/>
        <w:ind w:firstLine="482"/>
        <w:jc w:val="left"/>
        <w:rPr>
          <w:rFonts w:ascii="仿宋" w:eastAsia="仿宋" w:hAnsi="仿宋" w:cs="宋体"/>
          <w:color w:val="000000"/>
          <w:kern w:val="0"/>
          <w:sz w:val="24"/>
          <w:szCs w:val="24"/>
        </w:rPr>
      </w:pPr>
      <w:r w:rsidRPr="001B5A61">
        <w:rPr>
          <w:rFonts w:ascii="仿宋" w:eastAsia="仿宋" w:hAnsi="仿宋" w:cs="宋体" w:hint="eastAsia"/>
          <w:color w:val="000000"/>
          <w:kern w:val="0"/>
          <w:sz w:val="24"/>
          <w:szCs w:val="24"/>
        </w:rPr>
        <w:t>2） prompt 自动调优可以参考介绍：</w:t>
      </w:r>
    </w:p>
    <w:p w:rsidR="001B5A61" w:rsidRPr="001B5A61" w:rsidRDefault="001B5A61" w:rsidP="001B5A61">
      <w:pPr>
        <w:widowControl/>
        <w:spacing w:line="360" w:lineRule="auto"/>
        <w:ind w:firstLine="482"/>
        <w:jc w:val="left"/>
        <w:rPr>
          <w:rFonts w:ascii="仿宋" w:eastAsia="仿宋" w:hAnsi="仿宋" w:cs="宋体"/>
          <w:color w:val="000000"/>
          <w:kern w:val="0"/>
          <w:sz w:val="24"/>
          <w:szCs w:val="24"/>
        </w:rPr>
      </w:pPr>
      <w:hyperlink r:id="rId7" w:history="1">
        <w:r w:rsidRPr="001B5A61">
          <w:rPr>
            <w:rFonts w:ascii="仿宋" w:eastAsia="仿宋" w:hAnsi="仿宋" w:cs="宋体" w:hint="eastAsia"/>
            <w:color w:val="000000"/>
            <w:kern w:val="0"/>
            <w:sz w:val="24"/>
            <w:szCs w:val="24"/>
          </w:rPr>
          <w:t>https://zhuanlan.zhihu.com/p/658649353</w:t>
        </w:r>
      </w:hyperlink>
    </w:p>
    <w:p w:rsidR="00827D35" w:rsidRPr="00827D35" w:rsidRDefault="00A82C92" w:rsidP="00827D35">
      <w:pPr>
        <w:widowControl/>
        <w:spacing w:line="360" w:lineRule="auto"/>
        <w:jc w:val="left"/>
        <w:rPr>
          <w:rFonts w:ascii="楷体" w:eastAsia="楷体" w:hAnsi="楷体" w:cs="宋体"/>
          <w:color w:val="000000"/>
          <w:kern w:val="0"/>
          <w:sz w:val="28"/>
          <w:szCs w:val="24"/>
        </w:rPr>
      </w:pPr>
      <w:r>
        <w:rPr>
          <w:rFonts w:ascii="楷体" w:eastAsia="楷体" w:hAnsi="楷体" w:cs="宋体"/>
          <w:color w:val="000000"/>
          <w:kern w:val="0"/>
          <w:sz w:val="28"/>
          <w:szCs w:val="24"/>
        </w:rPr>
        <w:t>8</w:t>
      </w:r>
      <w:bookmarkStart w:id="0" w:name="_GoBack"/>
      <w:bookmarkEnd w:id="0"/>
      <w:r w:rsidR="00827D35" w:rsidRPr="00827D35">
        <w:rPr>
          <w:rFonts w:ascii="楷体" w:eastAsia="楷体" w:hAnsi="楷体" w:cs="宋体" w:hint="eastAsia"/>
          <w:color w:val="000000"/>
          <w:kern w:val="0"/>
          <w:sz w:val="28"/>
          <w:szCs w:val="24"/>
        </w:rPr>
        <w:t>. 评分要点</w:t>
      </w:r>
    </w:p>
    <w:p w:rsidR="00827D35" w:rsidRPr="00827D35" w:rsidRDefault="00827D35" w:rsidP="00072EDD">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赛题评分要点见附件一：A 类企业命题初赛统一评分标准。</w:t>
      </w:r>
    </w:p>
    <w:p w:rsidR="00072EDD" w:rsidRDefault="00072EDD">
      <w:pPr>
        <w:widowControl/>
        <w:jc w:val="left"/>
      </w:pPr>
      <w:r>
        <w:br w:type="page"/>
      </w:r>
    </w:p>
    <w:p w:rsidR="00A37162" w:rsidRDefault="00A37162" w:rsidP="00827D35">
      <w:pPr>
        <w:widowControl/>
        <w:spacing w:line="360" w:lineRule="auto"/>
        <w:jc w:val="left"/>
      </w:pPr>
    </w:p>
    <w:p w:rsidR="00827D35" w:rsidRDefault="00827D35" w:rsidP="00827D35">
      <w:pPr>
        <w:jc w:val="center"/>
      </w:pPr>
      <w:r w:rsidRPr="00827D35">
        <w:rPr>
          <w:rFonts w:hint="eastAsia"/>
        </w:rPr>
        <w:t>浙江省大学生服务外包创新应用大赛</w:t>
      </w:r>
      <w:r>
        <w:rPr>
          <w:rFonts w:hint="eastAsia"/>
        </w:rPr>
        <w:t>组委会</w:t>
      </w:r>
    </w:p>
    <w:p w:rsidR="00827D35" w:rsidRPr="00827D35" w:rsidRDefault="00827D35">
      <w:pPr>
        <w:rPr>
          <w:rFonts w:ascii="黑体" w:eastAsia="黑体" w:hAnsi="黑体"/>
          <w:sz w:val="28"/>
          <w:szCs w:val="28"/>
        </w:rPr>
      </w:pPr>
      <w:r w:rsidRPr="00827D35">
        <w:rPr>
          <w:rFonts w:ascii="黑体" w:eastAsia="黑体" w:hAnsi="黑体" w:hint="eastAsia"/>
          <w:sz w:val="28"/>
          <w:szCs w:val="28"/>
        </w:rPr>
        <w:t>附件一：</w:t>
      </w:r>
      <w:r w:rsidR="00072EDD" w:rsidRPr="00072EDD">
        <w:rPr>
          <w:rFonts w:ascii="黑体" w:eastAsia="黑体" w:hAnsi="黑体"/>
          <w:sz w:val="28"/>
          <w:szCs w:val="28"/>
        </w:rPr>
        <w:t>A 类</w:t>
      </w:r>
      <w:r w:rsidRPr="00827D35">
        <w:rPr>
          <w:rFonts w:ascii="黑体" w:eastAsia="黑体" w:hAnsi="黑体" w:hint="eastAsia"/>
          <w:sz w:val="28"/>
          <w:szCs w:val="28"/>
        </w:rPr>
        <w:t>企业命题初赛评分标准（仅供参考）</w:t>
      </w:r>
    </w:p>
    <w:p w:rsidR="00827D35" w:rsidRDefault="00827D35"/>
    <w:tbl>
      <w:tblPr>
        <w:tblStyle w:val="a8"/>
        <w:tblW w:w="0" w:type="auto"/>
        <w:tblLook w:val="04A0" w:firstRow="1" w:lastRow="0" w:firstColumn="1" w:lastColumn="0" w:noHBand="0" w:noVBand="1"/>
      </w:tblPr>
      <w:tblGrid>
        <w:gridCol w:w="1555"/>
        <w:gridCol w:w="5670"/>
        <w:gridCol w:w="1071"/>
      </w:tblGrid>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指标项</w:t>
            </w:r>
          </w:p>
        </w:tc>
        <w:tc>
          <w:tcPr>
            <w:tcW w:w="5670" w:type="dxa"/>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说明</w:t>
            </w:r>
          </w:p>
        </w:tc>
        <w:tc>
          <w:tcPr>
            <w:tcW w:w="1071" w:type="dxa"/>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分值</w:t>
            </w:r>
          </w:p>
        </w:tc>
      </w:tr>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项目创意</w:t>
            </w:r>
          </w:p>
        </w:tc>
        <w:tc>
          <w:tcPr>
            <w:tcW w:w="5670" w:type="dxa"/>
            <w:vAlign w:val="center"/>
          </w:tcPr>
          <w:p w:rsidR="00827D35" w:rsidRPr="00827D35" w:rsidRDefault="00827D35" w:rsidP="00827D35">
            <w:pPr>
              <w:rPr>
                <w:rFonts w:ascii="仿宋" w:eastAsia="仿宋" w:hAnsi="仿宋"/>
                <w:sz w:val="28"/>
                <w:szCs w:val="28"/>
              </w:rPr>
            </w:pPr>
            <w:r w:rsidRPr="00827D35">
              <w:rPr>
                <w:rFonts w:ascii="仿宋" w:eastAsia="仿宋" w:hAnsi="仿宋"/>
                <w:sz w:val="28"/>
                <w:szCs w:val="28"/>
              </w:rPr>
              <w:t>创意描述详细、清晰；对项目创意前景判断合理、准确；市场需求分析合理；创意独特、新颖，创新元素多，具有技术含量，有商业价值和社会应用价值。</w:t>
            </w:r>
          </w:p>
        </w:tc>
        <w:tc>
          <w:tcPr>
            <w:tcW w:w="1071"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20分</w:t>
            </w:r>
          </w:p>
        </w:tc>
      </w:tr>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实施方案</w:t>
            </w:r>
          </w:p>
        </w:tc>
        <w:tc>
          <w:tcPr>
            <w:tcW w:w="5670" w:type="dxa"/>
            <w:vAlign w:val="center"/>
          </w:tcPr>
          <w:p w:rsidR="00827D35" w:rsidRPr="00827D35" w:rsidRDefault="00827D35" w:rsidP="00827D35">
            <w:pPr>
              <w:rPr>
                <w:rFonts w:ascii="仿宋" w:eastAsia="仿宋" w:hAnsi="仿宋"/>
                <w:sz w:val="28"/>
                <w:szCs w:val="28"/>
              </w:rPr>
            </w:pPr>
            <w:r w:rsidRPr="00827D35">
              <w:rPr>
                <w:rFonts w:ascii="仿宋" w:eastAsia="仿宋" w:hAnsi="仿宋" w:hint="eastAsia"/>
                <w:sz w:val="28"/>
                <w:szCs w:val="28"/>
              </w:rPr>
              <w:t>整体目标规划和工作进度安排合理；在各阶段工作目标清晰，难点明确，重点突出，解决方案合理并能兼顾目标与资源配置；操作周期和实施计划安排恰当。</w:t>
            </w:r>
          </w:p>
        </w:tc>
        <w:tc>
          <w:tcPr>
            <w:tcW w:w="1071"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hint="eastAsia"/>
                <w:sz w:val="28"/>
                <w:szCs w:val="28"/>
              </w:rPr>
              <w:t>3</w:t>
            </w:r>
            <w:r w:rsidRPr="00827D35">
              <w:rPr>
                <w:rFonts w:ascii="仿宋" w:eastAsia="仿宋" w:hAnsi="仿宋"/>
                <w:sz w:val="28"/>
                <w:szCs w:val="28"/>
              </w:rPr>
              <w:t>0</w:t>
            </w:r>
            <w:r w:rsidRPr="00827D35">
              <w:rPr>
                <w:rFonts w:ascii="仿宋" w:eastAsia="仿宋" w:hAnsi="仿宋" w:hint="eastAsia"/>
                <w:sz w:val="28"/>
                <w:szCs w:val="28"/>
              </w:rPr>
              <w:t>分</w:t>
            </w:r>
          </w:p>
        </w:tc>
      </w:tr>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技术实现与交付</w:t>
            </w:r>
          </w:p>
        </w:tc>
        <w:tc>
          <w:tcPr>
            <w:tcW w:w="5670" w:type="dxa"/>
            <w:vAlign w:val="center"/>
          </w:tcPr>
          <w:p w:rsidR="00827D35" w:rsidRPr="00827D35" w:rsidRDefault="00827D35" w:rsidP="001609E9">
            <w:pPr>
              <w:rPr>
                <w:rFonts w:ascii="仿宋" w:eastAsia="仿宋" w:hAnsi="仿宋"/>
                <w:sz w:val="28"/>
                <w:szCs w:val="28"/>
              </w:rPr>
            </w:pPr>
            <w:r w:rsidRPr="00827D35">
              <w:rPr>
                <w:rFonts w:ascii="仿宋" w:eastAsia="仿宋" w:hAnsi="仿宋" w:hint="eastAsia"/>
                <w:sz w:val="28"/>
                <w:szCs w:val="28"/>
              </w:rPr>
              <w:t>技术路线清晰明确、技术工具成熟可靠；技术方案可行性高、项目完成度好；技术资源及经济成本控制合理、与项目需求匹配恰当；项目相关的知识产权证明</w:t>
            </w:r>
            <w:r w:rsidRPr="00827D35">
              <w:rPr>
                <w:rFonts w:ascii="仿宋" w:eastAsia="仿宋" w:hAnsi="仿宋"/>
                <w:sz w:val="28"/>
                <w:szCs w:val="28"/>
              </w:rPr>
              <w:t>(包括但不限于：专利证书、著作证书等)。</w:t>
            </w:r>
          </w:p>
        </w:tc>
        <w:tc>
          <w:tcPr>
            <w:tcW w:w="1071"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hint="eastAsia"/>
                <w:sz w:val="28"/>
                <w:szCs w:val="28"/>
              </w:rPr>
              <w:t>3</w:t>
            </w:r>
            <w:r w:rsidRPr="00827D35">
              <w:rPr>
                <w:rFonts w:ascii="仿宋" w:eastAsia="仿宋" w:hAnsi="仿宋"/>
                <w:sz w:val="28"/>
                <w:szCs w:val="28"/>
              </w:rPr>
              <w:t>0</w:t>
            </w:r>
            <w:r w:rsidRPr="00827D35">
              <w:rPr>
                <w:rFonts w:ascii="仿宋" w:eastAsia="仿宋" w:hAnsi="仿宋" w:hint="eastAsia"/>
                <w:sz w:val="28"/>
                <w:szCs w:val="28"/>
              </w:rPr>
              <w:t>分</w:t>
            </w:r>
          </w:p>
        </w:tc>
      </w:tr>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项目展示</w:t>
            </w:r>
          </w:p>
        </w:tc>
        <w:tc>
          <w:tcPr>
            <w:tcW w:w="5670" w:type="dxa"/>
            <w:vAlign w:val="center"/>
          </w:tcPr>
          <w:p w:rsidR="00827D35" w:rsidRPr="00827D35" w:rsidRDefault="00827D35" w:rsidP="00827D35">
            <w:pPr>
              <w:rPr>
                <w:rFonts w:ascii="仿宋" w:eastAsia="仿宋" w:hAnsi="仿宋"/>
                <w:sz w:val="28"/>
                <w:szCs w:val="28"/>
              </w:rPr>
            </w:pPr>
            <w:r w:rsidRPr="00827D35">
              <w:rPr>
                <w:rFonts w:ascii="仿宋" w:eastAsia="仿宋" w:hAnsi="仿宋" w:hint="eastAsia"/>
                <w:sz w:val="28"/>
                <w:szCs w:val="28"/>
              </w:rPr>
              <w:t>提交文档完整性；结构清晰合理、逻辑顺畅、文笔精炼。</w:t>
            </w:r>
          </w:p>
        </w:tc>
        <w:tc>
          <w:tcPr>
            <w:tcW w:w="1071"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hint="eastAsia"/>
                <w:sz w:val="28"/>
                <w:szCs w:val="28"/>
              </w:rPr>
              <w:t>2</w:t>
            </w:r>
            <w:r w:rsidRPr="00827D35">
              <w:rPr>
                <w:rFonts w:ascii="仿宋" w:eastAsia="仿宋" w:hAnsi="仿宋"/>
                <w:sz w:val="28"/>
                <w:szCs w:val="28"/>
              </w:rPr>
              <w:t>0</w:t>
            </w:r>
            <w:r w:rsidRPr="00827D35">
              <w:rPr>
                <w:rFonts w:ascii="仿宋" w:eastAsia="仿宋" w:hAnsi="仿宋" w:hint="eastAsia"/>
                <w:sz w:val="28"/>
                <w:szCs w:val="28"/>
              </w:rPr>
              <w:t>分</w:t>
            </w:r>
          </w:p>
        </w:tc>
      </w:tr>
      <w:tr w:rsidR="00827D35" w:rsidRPr="00827D35" w:rsidTr="00827D35">
        <w:tc>
          <w:tcPr>
            <w:tcW w:w="7225" w:type="dxa"/>
            <w:gridSpan w:val="2"/>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合计</w:t>
            </w:r>
          </w:p>
        </w:tc>
        <w:tc>
          <w:tcPr>
            <w:tcW w:w="1071" w:type="dxa"/>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00</w:t>
            </w:r>
            <w:r>
              <w:rPr>
                <w:rFonts w:ascii="仿宋" w:eastAsia="仿宋" w:hAnsi="仿宋" w:hint="eastAsia"/>
                <w:sz w:val="28"/>
                <w:szCs w:val="28"/>
              </w:rPr>
              <w:t>分</w:t>
            </w:r>
          </w:p>
        </w:tc>
      </w:tr>
    </w:tbl>
    <w:p w:rsidR="00827D35" w:rsidRDefault="00827D35"/>
    <w:sectPr w:rsidR="00827D3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085" w:rsidRDefault="00481085" w:rsidP="00A7126C">
      <w:r>
        <w:separator/>
      </w:r>
    </w:p>
  </w:endnote>
  <w:endnote w:type="continuationSeparator" w:id="0">
    <w:p w:rsidR="00481085" w:rsidRDefault="00481085" w:rsidP="00A7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846732"/>
      <w:docPartObj>
        <w:docPartGallery w:val="Page Numbers (Bottom of Page)"/>
        <w:docPartUnique/>
      </w:docPartObj>
    </w:sdtPr>
    <w:sdtEndPr/>
    <w:sdtContent>
      <w:p w:rsidR="00A7126C" w:rsidRDefault="00A7126C">
        <w:pPr>
          <w:pStyle w:val="a6"/>
          <w:jc w:val="center"/>
        </w:pPr>
        <w:r>
          <w:fldChar w:fldCharType="begin"/>
        </w:r>
        <w:r>
          <w:instrText>PAGE   \* MERGEFORMAT</w:instrText>
        </w:r>
        <w:r>
          <w:fldChar w:fldCharType="separate"/>
        </w:r>
        <w:r w:rsidR="00A82C92" w:rsidRPr="00A82C92">
          <w:rPr>
            <w:noProof/>
            <w:lang w:val="zh-CN"/>
          </w:rPr>
          <w:t>6</w:t>
        </w:r>
        <w:r>
          <w:fldChar w:fldCharType="end"/>
        </w:r>
      </w:p>
    </w:sdtContent>
  </w:sdt>
  <w:p w:rsidR="00A7126C" w:rsidRDefault="00A7126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085" w:rsidRDefault="00481085" w:rsidP="00A7126C">
      <w:r>
        <w:separator/>
      </w:r>
    </w:p>
  </w:footnote>
  <w:footnote w:type="continuationSeparator" w:id="0">
    <w:p w:rsidR="00481085" w:rsidRDefault="00481085" w:rsidP="00A712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2005E7"/>
    <w:multiLevelType w:val="singleLevel"/>
    <w:tmpl w:val="322005E7"/>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72EDD"/>
    <w:rsid w:val="000C7684"/>
    <w:rsid w:val="001609E9"/>
    <w:rsid w:val="001B5A61"/>
    <w:rsid w:val="00336028"/>
    <w:rsid w:val="00481085"/>
    <w:rsid w:val="004B66DC"/>
    <w:rsid w:val="004D08B1"/>
    <w:rsid w:val="0066039E"/>
    <w:rsid w:val="00827D35"/>
    <w:rsid w:val="00884754"/>
    <w:rsid w:val="00A37162"/>
    <w:rsid w:val="00A4309B"/>
    <w:rsid w:val="00A7126C"/>
    <w:rsid w:val="00A82C92"/>
    <w:rsid w:val="00AA3238"/>
    <w:rsid w:val="00AE761E"/>
    <w:rsid w:val="00CA5EF2"/>
    <w:rsid w:val="00CD1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2E3F0"/>
  <w15:chartTrackingRefBased/>
  <w15:docId w15:val="{CDAAD1E9-1A60-4D02-961E-5CADE89D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16"/>
    <w:basedOn w:val="a"/>
    <w:rsid w:val="00A7126C"/>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A7126C"/>
    <w:rPr>
      <w:color w:val="0000FF"/>
      <w:u w:val="single"/>
    </w:rPr>
  </w:style>
  <w:style w:type="paragraph" w:styleId="a4">
    <w:name w:val="header"/>
    <w:basedOn w:val="a"/>
    <w:link w:val="a5"/>
    <w:uiPriority w:val="99"/>
    <w:unhideWhenUsed/>
    <w:rsid w:val="00A7126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7126C"/>
    <w:rPr>
      <w:sz w:val="18"/>
      <w:szCs w:val="18"/>
    </w:rPr>
  </w:style>
  <w:style w:type="paragraph" w:styleId="a6">
    <w:name w:val="footer"/>
    <w:basedOn w:val="a"/>
    <w:link w:val="a7"/>
    <w:uiPriority w:val="99"/>
    <w:unhideWhenUsed/>
    <w:rsid w:val="00A7126C"/>
    <w:pPr>
      <w:tabs>
        <w:tab w:val="center" w:pos="4153"/>
        <w:tab w:val="right" w:pos="8306"/>
      </w:tabs>
      <w:snapToGrid w:val="0"/>
      <w:jc w:val="left"/>
    </w:pPr>
    <w:rPr>
      <w:sz w:val="18"/>
      <w:szCs w:val="18"/>
    </w:rPr>
  </w:style>
  <w:style w:type="character" w:customStyle="1" w:styleId="a7">
    <w:name w:val="页脚 字符"/>
    <w:basedOn w:val="a0"/>
    <w:link w:val="a6"/>
    <w:uiPriority w:val="99"/>
    <w:rsid w:val="00A7126C"/>
    <w:rPr>
      <w:sz w:val="18"/>
      <w:szCs w:val="18"/>
    </w:rPr>
  </w:style>
  <w:style w:type="table" w:styleId="-3">
    <w:name w:val="Light List Accent 3"/>
    <w:basedOn w:val="a1"/>
    <w:uiPriority w:val="61"/>
    <w:rsid w:val="00827D35"/>
    <w:rPr>
      <w:kern w:val="0"/>
      <w:sz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a8">
    <w:name w:val="Table Grid"/>
    <w:basedOn w:val="a1"/>
    <w:uiPriority w:val="39"/>
    <w:rsid w:val="0082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qFormat/>
    <w:rsid w:val="0066039E"/>
    <w:pPr>
      <w:widowControl/>
      <w:spacing w:before="100" w:beforeAutospacing="1" w:after="100" w:afterAutospacing="1"/>
      <w:jc w:val="left"/>
    </w:pPr>
    <w:rPr>
      <w:rFonts w:ascii="Times New Roman" w:eastAsia="宋体" w:hAnsi="Times New Roman"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306771">
      <w:bodyDiv w:val="1"/>
      <w:marLeft w:val="0"/>
      <w:marRight w:val="0"/>
      <w:marTop w:val="0"/>
      <w:marBottom w:val="0"/>
      <w:divBdr>
        <w:top w:val="none" w:sz="0" w:space="0" w:color="auto"/>
        <w:left w:val="none" w:sz="0" w:space="0" w:color="auto"/>
        <w:bottom w:val="none" w:sz="0" w:space="0" w:color="auto"/>
        <w:right w:val="none" w:sz="0" w:space="0" w:color="auto"/>
      </w:divBdr>
    </w:div>
    <w:div w:id="16075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zhuanlan.zhihu.com/p/65864935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Xiaohao Wang</dc:creator>
  <cp:keywords/>
  <dc:description/>
  <cp:lastModifiedBy>Xiaohao Wang</cp:lastModifiedBy>
  <cp:revision>15</cp:revision>
  <dcterms:created xsi:type="dcterms:W3CDTF">2025-03-25T06:34:00Z</dcterms:created>
  <dcterms:modified xsi:type="dcterms:W3CDTF">2025-05-28T09:19:00Z</dcterms:modified>
</cp:coreProperties>
</file>