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304B3" w14:textId="77777777" w:rsidR="00C45545" w:rsidRDefault="00C45545">
      <w:pPr>
        <w:widowControl/>
        <w:jc w:val="center"/>
        <w:rPr>
          <w:rFonts w:ascii="黑体" w:eastAsia="黑体" w:hAnsi="黑体" w:cs="宋体"/>
          <w:color w:val="000000"/>
          <w:kern w:val="0"/>
          <w:sz w:val="24"/>
          <w:szCs w:val="36"/>
        </w:rPr>
      </w:pPr>
    </w:p>
    <w:p w14:paraId="56A7CE1F" w14:textId="51F77868" w:rsidR="00402019" w:rsidRDefault="00360F3B">
      <w:pPr>
        <w:widowControl/>
        <w:jc w:val="center"/>
        <w:rPr>
          <w:rFonts w:ascii="黑体" w:eastAsia="黑体" w:hAnsi="黑体" w:cs="宋体"/>
          <w:color w:val="000000"/>
          <w:kern w:val="0"/>
          <w:sz w:val="24"/>
          <w:szCs w:val="36"/>
        </w:rPr>
      </w:pPr>
      <w:r w:rsidRPr="00BC5000">
        <w:rPr>
          <w:rFonts w:ascii="黑体" w:eastAsia="黑体" w:hAnsi="黑体" w:cs="宋体" w:hint="eastAsia"/>
          <w:color w:val="000000"/>
          <w:kern w:val="0"/>
          <w:sz w:val="24"/>
          <w:szCs w:val="36"/>
        </w:rPr>
        <w:t>【</w:t>
      </w:r>
      <w:r w:rsidRPr="00BC5000">
        <w:rPr>
          <w:rFonts w:ascii="黑体" w:eastAsia="黑体" w:hAnsi="黑体" w:cs="宋体"/>
          <w:color w:val="000000"/>
          <w:kern w:val="0"/>
          <w:sz w:val="24"/>
          <w:szCs w:val="36"/>
        </w:rPr>
        <w:t>A</w:t>
      </w:r>
      <w:r w:rsidR="00BC5000" w:rsidRPr="00BC5000">
        <w:rPr>
          <w:rFonts w:ascii="黑体" w:eastAsia="黑体" w:hAnsi="黑体" w:cs="宋体"/>
          <w:color w:val="000000"/>
          <w:kern w:val="0"/>
          <w:sz w:val="24"/>
          <w:szCs w:val="36"/>
        </w:rPr>
        <w:t>10</w:t>
      </w:r>
      <w:r w:rsidRPr="00BC5000">
        <w:rPr>
          <w:rFonts w:ascii="黑体" w:eastAsia="黑体" w:hAnsi="黑体" w:cs="宋体"/>
          <w:color w:val="000000"/>
          <w:kern w:val="0"/>
          <w:sz w:val="24"/>
          <w:szCs w:val="36"/>
        </w:rPr>
        <w:t>】基于</w:t>
      </w:r>
      <w:r w:rsidR="00B06459" w:rsidRPr="00BC5000">
        <w:rPr>
          <w:rFonts w:ascii="黑体" w:eastAsia="黑体" w:hAnsi="黑体" w:cs="宋体"/>
          <w:color w:val="000000"/>
          <w:kern w:val="0"/>
          <w:sz w:val="24"/>
          <w:szCs w:val="36"/>
        </w:rPr>
        <w:t>隐私计算驱动的</w:t>
      </w:r>
      <w:r w:rsidR="00B06459" w:rsidRPr="00BC5000">
        <w:rPr>
          <w:rFonts w:ascii="黑体" w:eastAsia="黑体" w:hAnsi="黑体" w:cs="宋体" w:hint="eastAsia"/>
          <w:color w:val="000000"/>
          <w:kern w:val="0"/>
          <w:sz w:val="24"/>
          <w:szCs w:val="36"/>
        </w:rPr>
        <w:t>敏感</w:t>
      </w:r>
      <w:r w:rsidR="00B06459" w:rsidRPr="00BC5000">
        <w:rPr>
          <w:rFonts w:ascii="黑体" w:eastAsia="黑体" w:hAnsi="黑体" w:cs="宋体"/>
          <w:color w:val="000000"/>
          <w:kern w:val="0"/>
          <w:sz w:val="24"/>
          <w:szCs w:val="36"/>
        </w:rPr>
        <w:t>数据</w:t>
      </w:r>
      <w:r w:rsidR="00B06459" w:rsidRPr="00BC5000">
        <w:rPr>
          <w:rFonts w:ascii="黑体" w:eastAsia="黑体" w:hAnsi="黑体" w:cs="宋体" w:hint="eastAsia"/>
          <w:color w:val="000000"/>
          <w:kern w:val="0"/>
          <w:sz w:val="24"/>
          <w:szCs w:val="36"/>
        </w:rPr>
        <w:t>分析</w:t>
      </w:r>
      <w:r w:rsidR="00B06459" w:rsidRPr="00BC5000">
        <w:rPr>
          <w:rFonts w:ascii="黑体" w:eastAsia="黑体" w:hAnsi="黑体" w:cs="宋体"/>
          <w:color w:val="000000"/>
          <w:kern w:val="0"/>
          <w:sz w:val="24"/>
          <w:szCs w:val="36"/>
        </w:rPr>
        <w:t>合规流通框架</w:t>
      </w:r>
      <w:r w:rsidR="00BC5000" w:rsidRPr="00BC5000">
        <w:rPr>
          <w:rFonts w:ascii="黑体" w:eastAsia="黑体" w:hAnsi="黑体" w:cs="宋体" w:hint="eastAsia"/>
          <w:color w:val="000000"/>
          <w:kern w:val="0"/>
          <w:sz w:val="24"/>
          <w:szCs w:val="36"/>
        </w:rPr>
        <w:t>【</w:t>
      </w:r>
      <w:r w:rsidR="00BC5000" w:rsidRPr="00BC5000">
        <w:rPr>
          <w:rFonts w:ascii="黑体" w:eastAsia="黑体" w:hAnsi="黑体" w:cs="宋体" w:hint="eastAsia"/>
          <w:color w:val="000000"/>
          <w:kern w:val="0"/>
          <w:sz w:val="24"/>
          <w:szCs w:val="36"/>
        </w:rPr>
        <w:t>乒乓智能</w:t>
      </w:r>
      <w:r w:rsidR="00BC5000" w:rsidRPr="00BC5000">
        <w:rPr>
          <w:rFonts w:ascii="黑体" w:eastAsia="黑体" w:hAnsi="黑体" w:cs="宋体"/>
          <w:color w:val="000000"/>
          <w:kern w:val="0"/>
          <w:sz w:val="24"/>
          <w:szCs w:val="36"/>
        </w:rPr>
        <w:t>】</w:t>
      </w:r>
    </w:p>
    <w:p w14:paraId="7F334A2D" w14:textId="77777777" w:rsidR="00C45545" w:rsidRPr="00BC5000" w:rsidRDefault="00C45545">
      <w:pPr>
        <w:widowControl/>
        <w:jc w:val="center"/>
        <w:rPr>
          <w:rFonts w:ascii="黑体" w:eastAsia="黑体" w:hAnsi="黑体" w:cs="宋体" w:hint="eastAsia"/>
          <w:color w:val="000000"/>
          <w:kern w:val="0"/>
          <w:sz w:val="24"/>
          <w:szCs w:val="36"/>
        </w:rPr>
      </w:pPr>
    </w:p>
    <w:p w14:paraId="60D5276F" w14:textId="77777777" w:rsidR="00402019" w:rsidRDefault="00360F3B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1.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命题方向</w:t>
      </w:r>
    </w:p>
    <w:p w14:paraId="15F571C2" w14:textId="77777777" w:rsidR="00402019" w:rsidRDefault="00360F3B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智能计算</w:t>
      </w:r>
    </w:p>
    <w:p w14:paraId="400F56C5" w14:textId="77777777" w:rsidR="00402019" w:rsidRDefault="00360F3B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2.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题目类别</w:t>
      </w:r>
    </w:p>
    <w:p w14:paraId="1028F560" w14:textId="4CEB2D3E" w:rsidR="00402019" w:rsidRDefault="00360F3B" w:rsidP="00E83426">
      <w:pPr>
        <w:widowControl/>
        <w:tabs>
          <w:tab w:val="left" w:pos="2150"/>
        </w:tabs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应用类</w:t>
      </w:r>
      <w:r w:rsidR="00E83426">
        <w:rPr>
          <w:rFonts w:ascii="仿宋" w:eastAsia="仿宋" w:hAnsi="仿宋" w:cs="宋体"/>
          <w:color w:val="000000"/>
          <w:kern w:val="0"/>
          <w:sz w:val="24"/>
          <w:szCs w:val="24"/>
        </w:rPr>
        <w:tab/>
      </w:r>
    </w:p>
    <w:p w14:paraId="12C863DF" w14:textId="77777777" w:rsidR="00402019" w:rsidRDefault="00360F3B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3.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题目名称</w:t>
      </w:r>
    </w:p>
    <w:p w14:paraId="0573CC5D" w14:textId="28DE8C2B" w:rsidR="00402019" w:rsidRDefault="00363D03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363D03">
        <w:rPr>
          <w:rFonts w:ascii="仿宋" w:eastAsia="仿宋" w:hAnsi="仿宋" w:cs="宋体"/>
          <w:color w:val="000000"/>
          <w:kern w:val="0"/>
          <w:sz w:val="24"/>
          <w:szCs w:val="24"/>
        </w:rPr>
        <w:t>基于</w:t>
      </w:r>
      <w:r w:rsidR="00B06459" w:rsidRPr="00B06459">
        <w:rPr>
          <w:rFonts w:ascii="仿宋" w:eastAsia="仿宋" w:hAnsi="仿宋" w:cs="宋体"/>
          <w:color w:val="000000"/>
          <w:kern w:val="0"/>
          <w:sz w:val="24"/>
          <w:szCs w:val="24"/>
        </w:rPr>
        <w:t>隐私计算驱动的</w:t>
      </w:r>
      <w:r w:rsidR="00B0645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敏感</w:t>
      </w:r>
      <w:r w:rsidR="00B06459" w:rsidRPr="00B06459">
        <w:rPr>
          <w:rFonts w:ascii="仿宋" w:eastAsia="仿宋" w:hAnsi="仿宋" w:cs="宋体"/>
          <w:color w:val="000000"/>
          <w:kern w:val="0"/>
          <w:sz w:val="24"/>
          <w:szCs w:val="24"/>
        </w:rPr>
        <w:t>数据</w:t>
      </w:r>
      <w:r w:rsidR="00B0645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分析</w:t>
      </w:r>
      <w:r w:rsidR="00B06459" w:rsidRPr="00B06459">
        <w:rPr>
          <w:rFonts w:ascii="仿宋" w:eastAsia="仿宋" w:hAnsi="仿宋" w:cs="宋体"/>
          <w:color w:val="000000"/>
          <w:kern w:val="0"/>
          <w:sz w:val="24"/>
          <w:szCs w:val="24"/>
        </w:rPr>
        <w:t>合规流通框架</w:t>
      </w:r>
    </w:p>
    <w:p w14:paraId="07054E85" w14:textId="77777777" w:rsidR="00402019" w:rsidRDefault="00360F3B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4.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背景说明</w:t>
      </w:r>
    </w:p>
    <w:p w14:paraId="5F8363BC" w14:textId="77777777" w:rsidR="00402019" w:rsidRDefault="00360F3B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【整体背景】</w:t>
      </w:r>
    </w:p>
    <w:p w14:paraId="2A8EAFA2" w14:textId="77777777" w:rsidR="003867C9" w:rsidRPr="00633769" w:rsidRDefault="003867C9" w:rsidP="003867C9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633769">
        <w:rPr>
          <w:rFonts w:ascii="仿宋" w:eastAsia="仿宋" w:hAnsi="仿宋" w:cs="宋体"/>
          <w:color w:val="000000"/>
          <w:kern w:val="0"/>
          <w:sz w:val="24"/>
          <w:szCs w:val="24"/>
        </w:rPr>
        <w:t>PingPong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持续</w:t>
      </w:r>
      <w:r w:rsidRPr="00633769">
        <w:rPr>
          <w:rFonts w:ascii="仿宋" w:eastAsia="仿宋" w:hAnsi="仿宋" w:cs="宋体"/>
          <w:color w:val="000000"/>
          <w:kern w:val="0"/>
          <w:sz w:val="24"/>
          <w:szCs w:val="24"/>
        </w:rPr>
        <w:t>构建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的</w:t>
      </w:r>
      <w:r w:rsidRPr="00633769">
        <w:rPr>
          <w:rFonts w:ascii="仿宋" w:eastAsia="仿宋" w:hAnsi="仿宋" w:cs="宋体"/>
          <w:color w:val="000000"/>
          <w:kern w:val="0"/>
          <w:sz w:val="24"/>
          <w:szCs w:val="24"/>
        </w:rPr>
        <w:t>全球化智能风控合规体系，以“合规即基础设施”为核心，覆盖200+国家地区，深度融合国际监管框架与前沿技术。通过三层防御体系实现全流程管控：事前依托动态规则矩阵与多模态生物核验，实时解析50余项国际监管政策；事中应用知识图谱追踪资金流，部署自适应反洗钱模型提升可疑交易检出率；事后通过区块链存证网络完整记录合规流程，满足ISO 27001等认证要求。</w:t>
      </w:r>
    </w:p>
    <w:p w14:paraId="3EF4B484" w14:textId="77777777" w:rsidR="003867C9" w:rsidRPr="00633769" w:rsidRDefault="003867C9" w:rsidP="003867C9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633769">
        <w:rPr>
          <w:rFonts w:ascii="仿宋" w:eastAsia="仿宋" w:hAnsi="仿宋" w:cs="宋体"/>
          <w:color w:val="000000"/>
          <w:kern w:val="0"/>
          <w:sz w:val="24"/>
          <w:szCs w:val="24"/>
        </w:rPr>
        <w:t>创新采用隐私计算架构，通过联邦学习与同态加密实现跨境数据安全流动，符合欧盟Schrems II判决；建立全球监管协同网络，直连新加坡MAS、英国FCA等20+监管机构，智能生成12类合规报告。</w:t>
      </w:r>
    </w:p>
    <w:p w14:paraId="4CBDFD8D" w14:textId="77777777" w:rsidR="003867C9" w:rsidRDefault="003867C9" w:rsidP="003867C9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633769">
        <w:rPr>
          <w:rFonts w:ascii="仿宋" w:eastAsia="仿宋" w:hAnsi="仿宋" w:cs="宋体"/>
          <w:color w:val="000000"/>
          <w:kern w:val="0"/>
          <w:sz w:val="24"/>
          <w:szCs w:val="24"/>
        </w:rPr>
        <w:t>作为首家同步满足中美欧监管框架的中国跨境支付平台，PingPong以RegTech能力构建“无感合规”生态：支撑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出海</w:t>
      </w:r>
      <w:r w:rsidRPr="00633769">
        <w:rPr>
          <w:rFonts w:ascii="仿宋" w:eastAsia="仿宋" w:hAnsi="仿宋" w:cs="宋体"/>
          <w:color w:val="000000"/>
          <w:kern w:val="0"/>
          <w:sz w:val="24"/>
          <w:szCs w:val="24"/>
        </w:rPr>
        <w:t>商户无缝对接FATF反洗钱、OFAC制裁清单等要求，减少企业合规成本，并持续拓展数字人民币跨境结算等创新场景，重塑全球贸易金融基础设施。</w:t>
      </w:r>
    </w:p>
    <w:p w14:paraId="02FFBD67" w14:textId="77777777" w:rsidR="00402019" w:rsidRDefault="00360F3B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【公司背景】</w:t>
      </w:r>
    </w:p>
    <w:p w14:paraId="0D885375" w14:textId="77777777" w:rsidR="00402019" w:rsidRDefault="00360F3B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杭州乒乓智能技术有限公司（简称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PingPong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）成立于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2015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年，诞生于全球跨境电子交易蓬勃发展的浪潮中，是中国跨境行业的创新推动者。目前，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PingPong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在全球设有超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20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个分支机构，业务覆盖超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200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个国家和地区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，是全球最大的跨境贸易数字化服务商之一。</w:t>
      </w:r>
    </w:p>
    <w:p w14:paraId="017B677F" w14:textId="77777777" w:rsidR="00402019" w:rsidRDefault="00360F3B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以遍布全球的运营服务网络、主流国家地区支付牌照和合规资质为依托，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PingPong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围绕跨境电商和外贸企业出海的综合需求，建立了涵盖跨境收款、跨境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B2B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收付款、全球收单、全球分发、供应链融资、海外汇率避险、出口退税、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VAT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税务服务、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VCC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SaaS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企业服务等多元化的产品矩阵，可为不同类型的客户提供合规、安全、便捷的一站式数字化服务。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</w:p>
    <w:p w14:paraId="712EC3D6" w14:textId="60E7C658" w:rsidR="00402019" w:rsidRDefault="00360F3B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公司始终致力于通过科技创新，携手更多生态合作伙伴，构建全球数字化运营服务网络，帮助跨境卖家和企业提升全球竞争力，共建跨境贸易的繁荣生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态。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</w:p>
    <w:p w14:paraId="310F5CE6" w14:textId="77777777" w:rsidR="00402019" w:rsidRDefault="00360F3B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【业务背景】</w:t>
      </w:r>
    </w:p>
    <w:p w14:paraId="29F07A43" w14:textId="084A1CC1" w:rsidR="003867C9" w:rsidRDefault="003867C9" w:rsidP="003867C9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随着人工智能技术的快速发展，AI在各个领域的应用逐步拓展，</w:t>
      </w:r>
      <w:r w:rsidRPr="00182A16">
        <w:rPr>
          <w:rFonts w:ascii="仿宋" w:eastAsia="仿宋" w:hAnsi="仿宋" w:cs="宋体"/>
          <w:color w:val="000000"/>
          <w:kern w:val="0"/>
          <w:sz w:val="24"/>
          <w:szCs w:val="24"/>
        </w:rPr>
        <w:t>PingPong正在构建一个全球支付的智能大脑，通过AI技术简化支付流程，提高支付效率，</w:t>
      </w:r>
      <w:r w:rsidR="00363D0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在满足全球数据隐私法规的前提下，</w:t>
      </w:r>
      <w:r w:rsidRPr="00182A16">
        <w:rPr>
          <w:rFonts w:ascii="仿宋" w:eastAsia="仿宋" w:hAnsi="仿宋" w:cs="宋体"/>
          <w:color w:val="000000"/>
          <w:kern w:val="0"/>
          <w:sz w:val="24"/>
          <w:szCs w:val="24"/>
        </w:rPr>
        <w:t>提升用户体验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</w:t>
      </w:r>
    </w:p>
    <w:p w14:paraId="00FD3E05" w14:textId="376BD309" w:rsidR="00402019" w:rsidRPr="003867C9" w:rsidRDefault="00402019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1FE32068" w14:textId="77777777" w:rsidR="00402019" w:rsidRDefault="00360F3B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5.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项目说明</w:t>
      </w:r>
    </w:p>
    <w:p w14:paraId="4AC0DBCC" w14:textId="12879C25" w:rsidR="00671F6F" w:rsidRDefault="00360F3B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【问题说明】</w:t>
      </w:r>
    </w:p>
    <w:p w14:paraId="577049D3" w14:textId="55461E75" w:rsidR="00671F6F" w:rsidRDefault="00671F6F" w:rsidP="00671F6F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基于此背景，我们聚焦</w:t>
      </w:r>
      <w:r w:rsidRPr="00246523">
        <w:rPr>
          <w:rFonts w:ascii="仿宋" w:eastAsia="仿宋" w:hAnsi="仿宋" w:cs="宋体"/>
          <w:color w:val="000000"/>
          <w:kern w:val="0"/>
          <w:sz w:val="24"/>
          <w:szCs w:val="24"/>
        </w:rPr>
        <w:t>在</w:t>
      </w:r>
      <w:r w:rsidRPr="00182A16">
        <w:rPr>
          <w:rFonts w:ascii="仿宋" w:eastAsia="仿宋" w:hAnsi="仿宋" w:cs="宋体"/>
          <w:color w:val="000000"/>
          <w:kern w:val="0"/>
          <w:sz w:val="24"/>
          <w:szCs w:val="24"/>
        </w:rPr>
        <w:t>智能风控运营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上</w:t>
      </w:r>
      <w:r w:rsidRPr="00246523">
        <w:rPr>
          <w:rFonts w:ascii="仿宋" w:eastAsia="仿宋" w:hAnsi="仿宋" w:cs="宋体"/>
          <w:color w:val="000000"/>
          <w:kern w:val="0"/>
          <w:sz w:val="24"/>
          <w:szCs w:val="24"/>
        </w:rPr>
        <w:t>，将技术应用与实际业务有效融合，</w:t>
      </w:r>
      <w:r w:rsidR="001F5893" w:rsidRPr="001F5893">
        <w:rPr>
          <w:rFonts w:ascii="仿宋" w:eastAsia="仿宋" w:hAnsi="仿宋" w:cs="宋体"/>
          <w:color w:val="000000"/>
          <w:kern w:val="0"/>
          <w:sz w:val="24"/>
          <w:szCs w:val="24"/>
        </w:rPr>
        <w:t>在满足GDPR、CCPA、PIPL等全球数据隐私法规的前提下，实现敏感数据（如用户身份信息、交易记录、生物特征）的安全分析与合规流转，达成“数据不动价值动”的目标，解决跨境场景中数据主权与业务效能的矛盾。</w:t>
      </w:r>
    </w:p>
    <w:p w14:paraId="54A04397" w14:textId="09CCF660" w:rsidR="00402019" w:rsidRPr="00671F6F" w:rsidRDefault="00402019" w:rsidP="00671F6F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5C4F623D" w14:textId="20224140" w:rsidR="00FB7C4A" w:rsidRPr="00FB7C4A" w:rsidRDefault="00360F3B" w:rsidP="00FB7C4A">
      <w:pPr>
        <w:widowControl/>
        <w:spacing w:line="360" w:lineRule="auto"/>
        <w:ind w:firstLine="482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【用户期望】</w:t>
      </w:r>
    </w:p>
    <w:p w14:paraId="32CEDC5C" w14:textId="77777777" w:rsidR="00FB7C4A" w:rsidRPr="00FB7C4A" w:rsidRDefault="00FB7C4A" w:rsidP="00FB7C4A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FB7C4A">
        <w:rPr>
          <w:rFonts w:ascii="仿宋" w:eastAsia="仿宋" w:hAnsi="仿宋" w:cs="宋体"/>
          <w:color w:val="000000"/>
          <w:kern w:val="0"/>
          <w:sz w:val="24"/>
          <w:szCs w:val="24"/>
        </w:rPr>
        <w:t>合规性：100%满足目标市场数据主权要求，规避法律风险</w:t>
      </w:r>
    </w:p>
    <w:p w14:paraId="44E89674" w14:textId="6F418F2C" w:rsidR="00FB7C4A" w:rsidRPr="00FB7C4A" w:rsidRDefault="00FB7C4A" w:rsidP="00FB7C4A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FB7C4A">
        <w:rPr>
          <w:rFonts w:ascii="仿宋" w:eastAsia="仿宋" w:hAnsi="仿宋" w:cs="宋体"/>
          <w:color w:val="000000"/>
          <w:kern w:val="0"/>
          <w:sz w:val="24"/>
          <w:szCs w:val="24"/>
        </w:rPr>
        <w:t>安全性：敏感数据“可用不可见”，</w:t>
      </w:r>
      <w:r w:rsidR="00811EB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评估</w:t>
      </w:r>
      <w:r w:rsidRPr="00FB7C4A">
        <w:rPr>
          <w:rFonts w:ascii="仿宋" w:eastAsia="仿宋" w:hAnsi="仿宋" w:cs="宋体"/>
          <w:color w:val="000000"/>
          <w:kern w:val="0"/>
          <w:sz w:val="24"/>
          <w:szCs w:val="24"/>
        </w:rPr>
        <w:t>泄露风险</w:t>
      </w:r>
      <w:r w:rsidR="00811EB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率</w:t>
      </w:r>
    </w:p>
    <w:p w14:paraId="6AEA5878" w14:textId="29E0C299" w:rsidR="00FB7C4A" w:rsidRDefault="00FB7C4A" w:rsidP="00FB7C4A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FB7C4A">
        <w:rPr>
          <w:rFonts w:ascii="仿宋" w:eastAsia="仿宋" w:hAnsi="仿宋" w:cs="宋体"/>
          <w:color w:val="000000"/>
          <w:kern w:val="0"/>
          <w:sz w:val="24"/>
          <w:szCs w:val="24"/>
        </w:rPr>
        <w:t>高效性：数据协作效率不低于传统明文处理的80%</w:t>
      </w:r>
    </w:p>
    <w:p w14:paraId="1A52EED1" w14:textId="537B7360" w:rsidR="00402019" w:rsidRDefault="00402019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1166AB48" w14:textId="77777777" w:rsidR="00402019" w:rsidRDefault="00360F3B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6.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任务要求</w:t>
      </w:r>
    </w:p>
    <w:p w14:paraId="3BEEF1F3" w14:textId="77777777" w:rsidR="00402019" w:rsidRDefault="00360F3B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【开发说明】</w:t>
      </w:r>
    </w:p>
    <w:p w14:paraId="17259520" w14:textId="1C0D995C" w:rsidR="00CC4683" w:rsidRDefault="00360F3B" w:rsidP="00CC4683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本命题产品要求选手</w:t>
      </w:r>
      <w:r w:rsidR="00671F6F" w:rsidRPr="00671F6F">
        <w:rPr>
          <w:rFonts w:ascii="仿宋" w:eastAsia="仿宋" w:hAnsi="仿宋" w:cs="宋体"/>
          <w:color w:val="000000"/>
          <w:kern w:val="0"/>
          <w:sz w:val="24"/>
          <w:szCs w:val="24"/>
        </w:rPr>
        <w:t>聚焦跨境电商、外贸B2B、企业服务等场景，</w:t>
      </w:r>
      <w:r w:rsidR="00811EBA"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采用隐私计算架构，通过联邦学习与同态加密实现跨境数据安全流动，符合欧盟</w:t>
      </w:r>
      <w:r w:rsidR="00811EBA"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lastRenderedPageBreak/>
        <w:t>Schrems II判决；</w:t>
      </w:r>
      <w:r w:rsidR="00811EB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具备</w:t>
      </w:r>
      <w:r w:rsidR="00811EBA"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建立全球监管协同网络，智能生成合规报告</w:t>
      </w:r>
      <w:r w:rsidR="00811EB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的技术框架</w:t>
      </w:r>
      <w:r w:rsidR="00811EBA"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。</w:t>
      </w:r>
    </w:p>
    <w:p w14:paraId="4823D74A" w14:textId="77777777" w:rsidR="004D3A59" w:rsidRPr="004D3A59" w:rsidRDefault="004D3A59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30EE54DE" w14:textId="2FD2D390" w:rsidR="00811EBA" w:rsidRPr="00811EBA" w:rsidRDefault="00360F3B" w:rsidP="005A1732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【技术要求与指标】</w:t>
      </w:r>
    </w:p>
    <w:p w14:paraId="45E9215C" w14:textId="062FD994" w:rsidR="00E629C6" w:rsidRDefault="00E629C6" w:rsidP="00E629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1、</w:t>
      </w:r>
      <w:r w:rsidR="00811EBA"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智能分级分类：</w:t>
      </w:r>
    </w:p>
    <w:p w14:paraId="5EF9C143" w14:textId="23CF47E1" w:rsidR="00811EBA" w:rsidRPr="00811EBA" w:rsidRDefault="00811EBA" w:rsidP="00E629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敏感字段识别，自动标记数据敏感等级（PII/PHI/财务数据/）</w:t>
      </w:r>
    </w:p>
    <w:p w14:paraId="5963B4F2" w14:textId="77777777" w:rsidR="00E629C6" w:rsidRDefault="00E629C6" w:rsidP="00811EBA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2、</w:t>
      </w:r>
      <w:r w:rsidR="00811EBA"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动态脱敏引擎：</w:t>
      </w:r>
    </w:p>
    <w:p w14:paraId="2E780719" w14:textId="78FE933E" w:rsidR="00811EBA" w:rsidRPr="00811EBA" w:rsidRDefault="00811EBA" w:rsidP="00811EBA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根据访问者角色实时调整脱敏粒度</w:t>
      </w:r>
    </w:p>
    <w:p w14:paraId="4DB5292A" w14:textId="57822F6B" w:rsidR="00811EBA" w:rsidRPr="00811EBA" w:rsidRDefault="00E629C6" w:rsidP="00811EBA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3、</w:t>
      </w:r>
      <w:r w:rsidR="00811EBA"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数据血缘图谱：</w:t>
      </w:r>
    </w:p>
    <w:p w14:paraId="56257A33" w14:textId="7BC2754B" w:rsidR="00811EBA" w:rsidRPr="00811EBA" w:rsidRDefault="00811EBA" w:rsidP="00811EBA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记录数据从采集、加工到共享的全链路轨迹，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支持快速</w:t>
      </w:r>
      <w:r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溯源审计</w:t>
      </w:r>
    </w:p>
    <w:p w14:paraId="76CDD203" w14:textId="22B4466D" w:rsidR="00811EBA" w:rsidRPr="00811EBA" w:rsidRDefault="00E629C6" w:rsidP="00811EBA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4、</w:t>
      </w:r>
      <w:r w:rsidRPr="00E629C6">
        <w:rPr>
          <w:rFonts w:ascii="仿宋" w:eastAsia="仿宋" w:hAnsi="仿宋" w:cs="宋体"/>
          <w:color w:val="000000"/>
          <w:kern w:val="0"/>
          <w:sz w:val="24"/>
          <w:szCs w:val="24"/>
        </w:rPr>
        <w:t>隐私计算</w:t>
      </w:r>
      <w:r w:rsidR="00811EBA"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：</w:t>
      </w:r>
    </w:p>
    <w:p w14:paraId="50FEB4F9" w14:textId="61DFA1CD" w:rsidR="00811EBA" w:rsidRPr="00811EBA" w:rsidRDefault="00811EBA" w:rsidP="00811EBA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跨机构联合建模，原始数据不出本地</w:t>
      </w:r>
      <w:r w:rsidR="005A173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；</w:t>
      </w:r>
    </w:p>
    <w:p w14:paraId="6104A1E5" w14:textId="0CA80DD6" w:rsidR="00811EBA" w:rsidRPr="00811EBA" w:rsidRDefault="00811EBA" w:rsidP="00E629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多维度特征融合</w:t>
      </w:r>
      <w:r w:rsidR="005A173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；</w:t>
      </w:r>
    </w:p>
    <w:p w14:paraId="09C3BF90" w14:textId="60EB3336" w:rsidR="00811EBA" w:rsidRPr="00811EBA" w:rsidRDefault="00811EBA" w:rsidP="00811EBA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支持隐匿查询实现黑名单比对，参与方仅获交集结果，不暴露额外信息</w:t>
      </w:r>
    </w:p>
    <w:p w14:paraId="3598A3F9" w14:textId="612198AE" w:rsidR="00811EBA" w:rsidRPr="00811EBA" w:rsidRDefault="00811EBA" w:rsidP="00811EBA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联合统计，完成跨国交易数据的合规聚合分析</w:t>
      </w:r>
    </w:p>
    <w:p w14:paraId="3BD744D3" w14:textId="04C5532E" w:rsidR="00811EBA" w:rsidRPr="00811EBA" w:rsidRDefault="00E629C6" w:rsidP="00811EBA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5、</w:t>
      </w:r>
      <w:r w:rsidR="00811EBA"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同态加密：</w:t>
      </w:r>
    </w:p>
    <w:p w14:paraId="4C78236D" w14:textId="77777777" w:rsidR="00811EBA" w:rsidRPr="00811EBA" w:rsidRDefault="00811EBA" w:rsidP="00811EBA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加密状态下直接运行风险评估模型，实现超敏感数据的加密计算</w:t>
      </w:r>
    </w:p>
    <w:p w14:paraId="3C10A187" w14:textId="3A4AB164" w:rsidR="00811EBA" w:rsidRPr="00811EBA" w:rsidRDefault="00E629C6" w:rsidP="00E629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6、</w:t>
      </w:r>
      <w:r w:rsidR="00811EBA"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智能规则引擎：</w:t>
      </w:r>
    </w:p>
    <w:p w14:paraId="651187EA" w14:textId="46802D29" w:rsidR="00811EBA" w:rsidRPr="00811EBA" w:rsidRDefault="00811EBA" w:rsidP="00811EBA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动态解析</w:t>
      </w:r>
      <w:r w:rsidR="00E629C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主要国家地区的</w:t>
      </w:r>
      <w:r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数据法规，自动生成合规策略（如欧盟数据出境自动触发GDPR Chapter V校验）</w:t>
      </w:r>
      <w:r w:rsidR="005A173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；</w:t>
      </w:r>
    </w:p>
    <w:p w14:paraId="6C980DF9" w14:textId="09E72FD7" w:rsidR="00811EBA" w:rsidRPr="00811EBA" w:rsidRDefault="00811EBA" w:rsidP="00811EBA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实时监控数据流动熵值，异常操作触发熔断机制</w:t>
      </w:r>
      <w:r w:rsidR="00E629C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及告警</w:t>
      </w:r>
    </w:p>
    <w:p w14:paraId="205CEDDD" w14:textId="28A4C1CA" w:rsidR="00811EBA" w:rsidRPr="00811EBA" w:rsidRDefault="00E629C6" w:rsidP="00811EBA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7、</w:t>
      </w:r>
      <w:r w:rsidR="00811EBA"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零信任访问控制：</w:t>
      </w:r>
    </w:p>
    <w:p w14:paraId="281DFA0C" w14:textId="53AB1F73" w:rsidR="00811EBA" w:rsidRPr="00811EBA" w:rsidRDefault="00811EBA" w:rsidP="00811EBA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基于属性的动态授权，评估请求方身份、数据敏感度、使用场景三重维度</w:t>
      </w:r>
    </w:p>
    <w:p w14:paraId="451A72D1" w14:textId="1C14A2DB" w:rsidR="00E629C6" w:rsidRDefault="00811EBA" w:rsidP="00E629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每次数据访问独立鉴权，拒绝默认信任</w:t>
      </w:r>
    </w:p>
    <w:p w14:paraId="2918FF2E" w14:textId="77777777" w:rsidR="00CC4683" w:rsidRPr="00CC4683" w:rsidRDefault="00CC4683" w:rsidP="009F573E">
      <w:pPr>
        <w:widowControl/>
        <w:spacing w:line="360" w:lineRule="auto"/>
        <w:ind w:left="420" w:firstLine="42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11063CD9" w14:textId="77777777" w:rsidR="00402019" w:rsidRDefault="00360F3B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【提交材料】</w:t>
      </w:r>
    </w:p>
    <w:p w14:paraId="700982D1" w14:textId="37E7C370" w:rsidR="00402019" w:rsidRDefault="00360F3B" w:rsidP="0000566F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）项目概要介绍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;</w:t>
      </w:r>
    </w:p>
    <w:p w14:paraId="260029DD" w14:textId="58C3177F" w:rsidR="00402019" w:rsidRDefault="00360F3B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 w:rsidR="0000566F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）项目详细方案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;</w:t>
      </w:r>
    </w:p>
    <w:p w14:paraId="54CDEA5C" w14:textId="1637D342" w:rsidR="00402019" w:rsidRDefault="00360F3B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 w:rsidR="0000566F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</w:t>
      </w:r>
      <w:r w:rsidR="004D3A5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系统的架构设计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;</w:t>
      </w:r>
    </w:p>
    <w:p w14:paraId="6104EAFE" w14:textId="64894098" w:rsidR="00402019" w:rsidRDefault="00360F3B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（</w:t>
      </w:r>
      <w:r w:rsidR="0000566F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）企业要求提交的材料：</w:t>
      </w:r>
    </w:p>
    <w:p w14:paraId="387355F2" w14:textId="6260E446" w:rsidR="00402019" w:rsidRDefault="00360F3B" w:rsidP="005A1732">
      <w:pPr>
        <w:widowControl/>
        <w:spacing w:line="360" w:lineRule="auto"/>
        <w:ind w:leftChars="200" w:left="420"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①产品使用手册：包括产品功能架构、使用流程图和</w:t>
      </w:r>
      <w:r w:rsidR="004D3A5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实际业务场景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示例；</w:t>
      </w:r>
    </w:p>
    <w:p w14:paraId="5363BFA6" w14:textId="6C1B234B" w:rsidR="00402019" w:rsidRDefault="00360F3B" w:rsidP="005A1732">
      <w:pPr>
        <w:widowControl/>
        <w:spacing w:line="360" w:lineRule="auto"/>
        <w:ind w:leftChars="200" w:left="420"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②</w:t>
      </w:r>
      <w:r w:rsidR="0082248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项目的详细分工及过程文档：对团队成员的角色、分工、排期和过程进行记录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；</w:t>
      </w:r>
    </w:p>
    <w:p w14:paraId="66D2EB9A" w14:textId="45290B47" w:rsidR="00402019" w:rsidRDefault="00360F3B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 w:rsidR="0000566F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5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）团队自愿提交的其他补充材料。</w:t>
      </w:r>
    </w:p>
    <w:p w14:paraId="50ACBD78" w14:textId="77777777" w:rsidR="00402019" w:rsidRDefault="00360F3B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【任务清单】</w:t>
      </w:r>
    </w:p>
    <w:p w14:paraId="177B599A" w14:textId="7F40A322" w:rsidR="00402019" w:rsidRDefault="00360F3B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包括但不限于以下</w:t>
      </w:r>
      <w:r w:rsidR="001B5D47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内容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：</w:t>
      </w:r>
    </w:p>
    <w:p w14:paraId="68111E40" w14:textId="63A179EB" w:rsidR="001B5D47" w:rsidRPr="00827D35" w:rsidRDefault="001B5D47" w:rsidP="001B5D47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27D3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系统</w:t>
      </w:r>
      <w:r w:rsidR="00566EC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功能模块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说明</w:t>
      </w:r>
      <w:r w:rsidRPr="00827D3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；</w:t>
      </w:r>
    </w:p>
    <w:p w14:paraId="73C25C2E" w14:textId="17448E81" w:rsidR="001B5D47" w:rsidRPr="00827D35" w:rsidRDefault="001B5D47" w:rsidP="001B5D47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27D3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（2）</w:t>
      </w:r>
      <w:r w:rsidR="00566EC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系统各功能间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调用时序</w:t>
      </w:r>
      <w:r w:rsidRPr="00827D3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；</w:t>
      </w:r>
    </w:p>
    <w:p w14:paraId="0257563D" w14:textId="47338067" w:rsidR="001B5D47" w:rsidRPr="00827D35" w:rsidRDefault="001B5D47" w:rsidP="001B5D47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27D3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（3）</w:t>
      </w:r>
      <w:r w:rsidR="0082248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系统</w:t>
      </w:r>
      <w:r w:rsidR="00566EC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及模型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设计</w:t>
      </w:r>
      <w:r w:rsidRPr="00827D3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；</w:t>
      </w:r>
    </w:p>
    <w:p w14:paraId="6B94097F" w14:textId="158EDF7E" w:rsidR="001B5D47" w:rsidRPr="00827D35" w:rsidRDefault="001B5D47" w:rsidP="001B5D47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27D3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（4）</w:t>
      </w:r>
      <w:r w:rsidR="00822489" w:rsidRPr="00822489">
        <w:rPr>
          <w:rFonts w:ascii="仿宋" w:eastAsia="仿宋" w:hAnsi="仿宋" w:cs="宋体"/>
          <w:color w:val="000000"/>
          <w:kern w:val="0"/>
          <w:sz w:val="24"/>
          <w:szCs w:val="24"/>
        </w:rPr>
        <w:t>隐私计算引擎</w:t>
      </w:r>
      <w:r w:rsidRPr="00827D3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；</w:t>
      </w:r>
    </w:p>
    <w:p w14:paraId="293D34D7" w14:textId="49FB25A4" w:rsidR="001B5D47" w:rsidRPr="00827D35" w:rsidRDefault="001B5D47" w:rsidP="001B5D47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27D3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（5）</w:t>
      </w:r>
      <w:r w:rsidR="00822489" w:rsidRPr="00822489">
        <w:rPr>
          <w:rFonts w:ascii="仿宋" w:eastAsia="仿宋" w:hAnsi="仿宋" w:cs="宋体"/>
          <w:color w:val="000000"/>
          <w:kern w:val="0"/>
          <w:sz w:val="24"/>
          <w:szCs w:val="24"/>
        </w:rPr>
        <w:t>生成数据分级报告</w:t>
      </w:r>
      <w:r w:rsidRPr="00827D3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；</w:t>
      </w:r>
    </w:p>
    <w:p w14:paraId="2C20F57F" w14:textId="50805A4B" w:rsidR="001B5D47" w:rsidRPr="00827D35" w:rsidRDefault="001B5D47" w:rsidP="001B5D47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27D3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（6）</w:t>
      </w:r>
      <w:r w:rsidR="00822489" w:rsidRPr="00811EBA">
        <w:rPr>
          <w:rFonts w:ascii="仿宋" w:eastAsia="仿宋" w:hAnsi="仿宋" w:cs="宋体"/>
          <w:color w:val="000000"/>
          <w:kern w:val="0"/>
          <w:sz w:val="24"/>
          <w:szCs w:val="24"/>
        </w:rPr>
        <w:t>智能规则引擎</w:t>
      </w:r>
      <w:r w:rsidRPr="00827D3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；</w:t>
      </w:r>
    </w:p>
    <w:p w14:paraId="0776D75E" w14:textId="60AC2B3D" w:rsidR="001B5D47" w:rsidRDefault="001B5D47" w:rsidP="001B5D47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827D3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（7）</w:t>
      </w:r>
      <w:r w:rsidR="00822489" w:rsidRPr="00822489">
        <w:rPr>
          <w:rFonts w:ascii="仿宋" w:eastAsia="仿宋" w:hAnsi="仿宋" w:cs="宋体"/>
          <w:color w:val="000000"/>
          <w:kern w:val="0"/>
          <w:sz w:val="24"/>
          <w:szCs w:val="24"/>
        </w:rPr>
        <w:t>合规控制</w:t>
      </w:r>
      <w:r w:rsidR="0082248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</w:t>
      </w:r>
      <w:r w:rsidR="00822489" w:rsidRPr="00822489">
        <w:rPr>
          <w:rFonts w:ascii="仿宋" w:eastAsia="仿宋" w:hAnsi="仿宋" w:cs="宋体"/>
          <w:color w:val="000000"/>
          <w:kern w:val="0"/>
          <w:sz w:val="24"/>
          <w:szCs w:val="24"/>
        </w:rPr>
        <w:t>模拟监管检查通过率</w:t>
      </w:r>
      <w:r w:rsidRPr="00827D3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；</w:t>
      </w:r>
    </w:p>
    <w:p w14:paraId="0948B037" w14:textId="297BDA82" w:rsidR="00411F53" w:rsidRPr="00827D35" w:rsidRDefault="00411F53" w:rsidP="001B5D47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（8）</w:t>
      </w:r>
      <w:r w:rsidR="0082248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性能指标，</w:t>
      </w:r>
      <w:r w:rsidR="00822489" w:rsidRPr="00822489">
        <w:rPr>
          <w:rFonts w:ascii="仿宋" w:eastAsia="仿宋" w:hAnsi="仿宋" w:cs="宋体"/>
          <w:color w:val="000000"/>
          <w:kern w:val="0"/>
          <w:sz w:val="24"/>
          <w:szCs w:val="24"/>
        </w:rPr>
        <w:t>SLA协议明确响应时间与可用性阈值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；</w:t>
      </w:r>
    </w:p>
    <w:p w14:paraId="6DEF5D85" w14:textId="5F6CB2B8" w:rsidR="00402019" w:rsidRPr="001B5D47" w:rsidRDefault="00402019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41AE91D5" w14:textId="77777777" w:rsidR="00402019" w:rsidRDefault="00360F3B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7.</w:t>
      </w:r>
      <w:r>
        <w:rPr>
          <w:rFonts w:ascii="Calibri" w:eastAsia="楷体" w:hAnsi="Calibri" w:cs="Calibri"/>
          <w:color w:val="000000"/>
          <w:kern w:val="0"/>
          <w:sz w:val="28"/>
          <w:szCs w:val="24"/>
        </w:rPr>
        <w:t> 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其他</w:t>
      </w:r>
    </w:p>
    <w:p w14:paraId="55163926" w14:textId="55DA8D56" w:rsidR="00BB4F90" w:rsidRDefault="00BB4F90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无</w:t>
      </w:r>
    </w:p>
    <w:p w14:paraId="5C98E0B0" w14:textId="77777777" w:rsidR="00BB4F90" w:rsidRDefault="00360F3B" w:rsidP="00BB4F90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8.</w:t>
      </w:r>
      <w:r>
        <w:rPr>
          <w:rFonts w:ascii="Calibri" w:eastAsia="楷体" w:hAnsi="Calibri" w:cs="Calibri"/>
          <w:color w:val="000000"/>
          <w:kern w:val="0"/>
          <w:sz w:val="28"/>
          <w:szCs w:val="24"/>
        </w:rPr>
        <w:t> 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参考信息</w:t>
      </w:r>
    </w:p>
    <w:p w14:paraId="4E917FBC" w14:textId="58BF0D1E" w:rsidR="00BB4F90" w:rsidRPr="00827D35" w:rsidRDefault="00BB4F90" w:rsidP="00BB4F90">
      <w:pPr>
        <w:widowControl/>
        <w:spacing w:line="360" w:lineRule="auto"/>
        <w:ind w:left="210" w:firstLine="24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关于PingPong</w:t>
      </w:r>
      <w:r w:rsidRPr="00827D3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：</w:t>
      </w:r>
      <w:r w:rsidRPr="00BB4F90">
        <w:rPr>
          <w:rFonts w:ascii="仿宋" w:eastAsia="仿宋" w:hAnsi="仿宋" w:cs="宋体"/>
          <w:color w:val="000000"/>
          <w:kern w:val="0"/>
          <w:sz w:val="24"/>
          <w:szCs w:val="24"/>
        </w:rPr>
        <w:t>https://www.pingpongx.com/zh/safety?cb=true</w:t>
      </w:r>
      <w:r w:rsidRPr="00827D35">
        <w:rPr>
          <w:rFonts w:ascii="仿宋" w:eastAsia="仿宋" w:hAnsi="仿宋" w:cs="宋体"/>
          <w:color w:val="000000"/>
          <w:kern w:val="0"/>
          <w:sz w:val="24"/>
          <w:szCs w:val="24"/>
        </w:rPr>
        <w:t xml:space="preserve"> </w:t>
      </w:r>
    </w:p>
    <w:p w14:paraId="3EDE1F52" w14:textId="4BFDEB5E" w:rsidR="00BB4F90" w:rsidRPr="00827D35" w:rsidRDefault="00BB4F90" w:rsidP="00BB4F90">
      <w:pPr>
        <w:widowControl/>
        <w:spacing w:line="360" w:lineRule="auto"/>
        <w:ind w:left="210" w:firstLine="24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安全合规</w:t>
      </w:r>
      <w:r w:rsidRPr="00827D3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：</w:t>
      </w:r>
      <w:r w:rsidRPr="00BB4F90">
        <w:rPr>
          <w:rFonts w:ascii="仿宋" w:eastAsia="仿宋" w:hAnsi="仿宋" w:cs="宋体"/>
          <w:color w:val="000000"/>
          <w:kern w:val="0"/>
          <w:sz w:val="24"/>
          <w:szCs w:val="24"/>
        </w:rPr>
        <w:t>https://www.pingpongx.com/zh/safety?cb=true</w:t>
      </w:r>
      <w:r w:rsidRPr="00827D35">
        <w:rPr>
          <w:rFonts w:ascii="仿宋" w:eastAsia="仿宋" w:hAnsi="仿宋" w:cs="宋体"/>
          <w:color w:val="000000"/>
          <w:kern w:val="0"/>
          <w:sz w:val="24"/>
          <w:szCs w:val="24"/>
        </w:rPr>
        <w:t xml:space="preserve"> </w:t>
      </w:r>
    </w:p>
    <w:p w14:paraId="7EB5720A" w14:textId="6A646653" w:rsidR="00BB4F90" w:rsidRPr="00BB4F90" w:rsidRDefault="00BB4F90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</w:p>
    <w:p w14:paraId="60BF46C3" w14:textId="77777777" w:rsidR="00402019" w:rsidRDefault="00360F3B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 xml:space="preserve">9. 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评分要点</w:t>
      </w:r>
    </w:p>
    <w:p w14:paraId="44319776" w14:textId="052C18D4" w:rsidR="00402019" w:rsidRDefault="00360F3B" w:rsidP="00360F3B">
      <w:pPr>
        <w:widowControl/>
        <w:spacing w:line="360" w:lineRule="auto"/>
        <w:ind w:firstLine="484"/>
        <w:jc w:val="left"/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赛题评分要点见附件一：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A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类企业命题初赛统一评分标准。</w:t>
      </w:r>
      <w:bookmarkStart w:id="0" w:name="_GoBack"/>
      <w:bookmarkEnd w:id="0"/>
    </w:p>
    <w:sectPr w:rsidR="0040201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9C6EA" w14:textId="77777777" w:rsidR="005F0908" w:rsidRDefault="005F0908">
      <w:r>
        <w:separator/>
      </w:r>
    </w:p>
  </w:endnote>
  <w:endnote w:type="continuationSeparator" w:id="0">
    <w:p w14:paraId="683B4BF9" w14:textId="77777777" w:rsidR="005F0908" w:rsidRDefault="005F0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8846732"/>
      <w:docPartObj>
        <w:docPartGallery w:val="AutoText"/>
      </w:docPartObj>
    </w:sdtPr>
    <w:sdtEndPr/>
    <w:sdtContent>
      <w:p w14:paraId="10110733" w14:textId="623A9196" w:rsidR="00402019" w:rsidRDefault="00360F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60F3B">
          <w:rPr>
            <w:noProof/>
            <w:lang w:val="zh-CN"/>
          </w:rPr>
          <w:t>3</w:t>
        </w:r>
        <w:r>
          <w:fldChar w:fldCharType="end"/>
        </w:r>
      </w:p>
    </w:sdtContent>
  </w:sdt>
  <w:p w14:paraId="69DECAF6" w14:textId="77777777" w:rsidR="00402019" w:rsidRDefault="0040201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F5735" w14:textId="77777777" w:rsidR="005F0908" w:rsidRDefault="005F0908">
      <w:r>
        <w:separator/>
      </w:r>
    </w:p>
  </w:footnote>
  <w:footnote w:type="continuationSeparator" w:id="0">
    <w:p w14:paraId="0AD8D7A2" w14:textId="77777777" w:rsidR="005F0908" w:rsidRDefault="005F09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0000566F"/>
    <w:rsid w:val="00014A46"/>
    <w:rsid w:val="0004120C"/>
    <w:rsid w:val="00072EDD"/>
    <w:rsid w:val="001609E9"/>
    <w:rsid w:val="00182A16"/>
    <w:rsid w:val="001B5D47"/>
    <w:rsid w:val="001F5893"/>
    <w:rsid w:val="00210D59"/>
    <w:rsid w:val="00246523"/>
    <w:rsid w:val="002B06FF"/>
    <w:rsid w:val="00360F3B"/>
    <w:rsid w:val="00363D03"/>
    <w:rsid w:val="003867C9"/>
    <w:rsid w:val="00402019"/>
    <w:rsid w:val="00411F53"/>
    <w:rsid w:val="00481085"/>
    <w:rsid w:val="004D08B1"/>
    <w:rsid w:val="004D3A59"/>
    <w:rsid w:val="00566EC6"/>
    <w:rsid w:val="005970A7"/>
    <w:rsid w:val="005A1732"/>
    <w:rsid w:val="005E703E"/>
    <w:rsid w:val="005F0908"/>
    <w:rsid w:val="00633769"/>
    <w:rsid w:val="0064034C"/>
    <w:rsid w:val="00671F6F"/>
    <w:rsid w:val="00705ACE"/>
    <w:rsid w:val="00721477"/>
    <w:rsid w:val="007236FA"/>
    <w:rsid w:val="00735003"/>
    <w:rsid w:val="00811EBA"/>
    <w:rsid w:val="00822489"/>
    <w:rsid w:val="00827D35"/>
    <w:rsid w:val="00884754"/>
    <w:rsid w:val="009D3965"/>
    <w:rsid w:val="009F573E"/>
    <w:rsid w:val="00A37162"/>
    <w:rsid w:val="00A7126C"/>
    <w:rsid w:val="00B06459"/>
    <w:rsid w:val="00BB4F90"/>
    <w:rsid w:val="00BC286E"/>
    <w:rsid w:val="00BC5000"/>
    <w:rsid w:val="00C45545"/>
    <w:rsid w:val="00CA5EF2"/>
    <w:rsid w:val="00CB3704"/>
    <w:rsid w:val="00CC4683"/>
    <w:rsid w:val="00CC6952"/>
    <w:rsid w:val="00CD129A"/>
    <w:rsid w:val="00D94B54"/>
    <w:rsid w:val="00DA74DF"/>
    <w:rsid w:val="00E629C6"/>
    <w:rsid w:val="00E83426"/>
    <w:rsid w:val="00FA6E7F"/>
    <w:rsid w:val="00FB7C4A"/>
    <w:rsid w:val="3F2C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59D6C"/>
  <w15:docId w15:val="{4943667A-7A71-D646-97E6-DEA627663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List Accent 3"/>
    <w:basedOn w:val="a1"/>
    <w:uiPriority w:val="61"/>
    <w:rPr>
      <w:sz w:val="22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customStyle="1" w:styleId="16">
    <w:name w:val="1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9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Xiaohao Wang</dc:creator>
  <cp:lastModifiedBy>Xiaohao Wang</cp:lastModifiedBy>
  <cp:revision>36</cp:revision>
  <dcterms:created xsi:type="dcterms:W3CDTF">2025-04-15T03:44:00Z</dcterms:created>
  <dcterms:modified xsi:type="dcterms:W3CDTF">2025-05-28T07:58:00Z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eyJoZGlkIjoiYmFjODk4ZmVkNzZlZTkzMDM1NDU4YmUyMWNiNzA0MDYiLCJ1c2VySWQiOiI0MjgwNzcwMjUifQ==</vt:lpwstr>
  </property>
  <property fmtid="{D5CDD505-2E9C-101B-9397-08002B2CF9AE}" pid="3" name="KSOProductBuildVer">
    <vt:lpwstr>2052-12.1.0.20305</vt:lpwstr>
  </property>
  <property fmtid="{D5CDD505-2E9C-101B-9397-08002B2CF9AE}" pid="4" name="ICV">
    <vt:lpwstr>5F009A24C1B14484B3DC8B00932CD960_12</vt:lpwstr>
  </property>
</Properties>
</file>