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22E8" w14:textId="77777777" w:rsidR="00CD16C2" w:rsidRDefault="00000000">
      <w:pPr>
        <w:pStyle w:val="A8"/>
        <w:spacing w:line="360" w:lineRule="auto"/>
        <w:rPr>
          <w:rFonts w:ascii="仿宋" w:eastAsia="仿宋" w:hAnsi="仿宋" w:cs="仿宋_GB2312"/>
          <w:b/>
          <w:bCs/>
          <w:sz w:val="30"/>
          <w:szCs w:val="30"/>
          <w:lang w:val="zh-TW"/>
        </w:rPr>
      </w:pPr>
      <w:r>
        <w:rPr>
          <w:rFonts w:ascii="仿宋" w:eastAsia="仿宋" w:hAnsi="仿宋" w:cs="仿宋_GB2312" w:hint="eastAsia"/>
          <w:b/>
          <w:bCs/>
          <w:sz w:val="30"/>
          <w:szCs w:val="30"/>
          <w:lang w:val="zh-TW" w:eastAsia="zh-TW"/>
        </w:rPr>
        <w:t>附件</w:t>
      </w:r>
      <w:r>
        <w:rPr>
          <w:rFonts w:ascii="仿宋" w:eastAsia="仿宋" w:hAnsi="仿宋" w:cs="仿宋_GB2312"/>
          <w:b/>
          <w:bCs/>
          <w:sz w:val="30"/>
          <w:szCs w:val="30"/>
          <w:lang w:val="zh-TW" w:eastAsia="zh-TW"/>
        </w:rPr>
        <w:t>1</w:t>
      </w:r>
      <w:r>
        <w:rPr>
          <w:rFonts w:ascii="仿宋" w:eastAsia="仿宋" w:hAnsi="仿宋" w:cs="仿宋_GB2312" w:hint="eastAsia"/>
          <w:b/>
          <w:bCs/>
          <w:sz w:val="30"/>
          <w:szCs w:val="30"/>
          <w:lang w:val="zh-TW" w:eastAsia="zh-TW"/>
        </w:rPr>
        <w:t>：</w:t>
      </w:r>
    </w:p>
    <w:p w14:paraId="5058EAC8" w14:textId="77777777" w:rsidR="00CD16C2" w:rsidRDefault="00000000">
      <w:pPr>
        <w:pStyle w:val="A8"/>
        <w:spacing w:line="520" w:lineRule="exact"/>
        <w:jc w:val="center"/>
        <w:rPr>
          <w:rFonts w:ascii="华文中宋" w:eastAsia="华文中宋" w:hAnsi="华文中宋"/>
          <w:b/>
          <w:spacing w:val="-6"/>
          <w:sz w:val="36"/>
          <w:szCs w:val="36"/>
        </w:rPr>
      </w:pPr>
      <w:r>
        <w:rPr>
          <w:rFonts w:ascii="华文中宋" w:eastAsia="华文中宋" w:hAnsi="华文中宋"/>
          <w:b/>
          <w:spacing w:val="-6"/>
          <w:sz w:val="36"/>
          <w:szCs w:val="36"/>
        </w:rPr>
        <w:t>2023</w:t>
      </w:r>
      <w:r>
        <w:rPr>
          <w:rFonts w:ascii="华文中宋" w:eastAsia="华文中宋" w:hAnsi="华文中宋" w:hint="eastAsia"/>
          <w:b/>
          <w:spacing w:val="-6"/>
          <w:sz w:val="36"/>
          <w:szCs w:val="36"/>
        </w:rPr>
        <w:t>年“双百双进”社会实践重点方向</w:t>
      </w:r>
    </w:p>
    <w:p w14:paraId="7E33E5F3" w14:textId="77777777" w:rsidR="00CD16C2" w:rsidRDefault="00CD16C2">
      <w:pPr>
        <w:pStyle w:val="A8"/>
        <w:spacing w:line="360" w:lineRule="auto"/>
        <w:ind w:firstLineChars="200" w:firstLine="602"/>
        <w:rPr>
          <w:rFonts w:ascii="仿宋" w:eastAsia="仿宋" w:hAnsi="仿宋"/>
          <w:b/>
          <w:bCs/>
          <w:sz w:val="30"/>
          <w:szCs w:val="30"/>
        </w:rPr>
      </w:pPr>
    </w:p>
    <w:p w14:paraId="28099FAD" w14:textId="77777777" w:rsidR="00CD16C2" w:rsidRDefault="00000000">
      <w:pPr>
        <w:pStyle w:val="A8"/>
        <w:spacing w:line="500" w:lineRule="exact"/>
        <w:ind w:firstLineChars="200" w:firstLine="602"/>
        <w:rPr>
          <w:rFonts w:ascii="仿宋" w:eastAsia="仿宋" w:hAnsi="仿宋" w:cs="仿宋_GB2312"/>
          <w:b/>
          <w:bCs/>
          <w:color w:val="000000" w:themeColor="text1"/>
          <w:sz w:val="30"/>
          <w:szCs w:val="30"/>
        </w:rPr>
      </w:pPr>
      <w:r>
        <w:rPr>
          <w:rFonts w:ascii="仿宋" w:eastAsia="仿宋" w:hAnsi="仿宋" w:cs="仿宋_GB2312" w:hint="eastAsia"/>
          <w:b/>
          <w:bCs/>
          <w:color w:val="000000" w:themeColor="text1"/>
          <w:sz w:val="30"/>
          <w:szCs w:val="30"/>
        </w:rPr>
        <w:t>一、全国社会实践重点方向</w:t>
      </w:r>
    </w:p>
    <w:p w14:paraId="143F8831" w14:textId="77777777" w:rsidR="00CD16C2" w:rsidRDefault="00000000">
      <w:pPr>
        <w:pStyle w:val="A8"/>
        <w:spacing w:line="500" w:lineRule="exact"/>
        <w:ind w:firstLineChars="200" w:firstLine="6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1.聚焦红色基因传承。组织大学生深入学习宣传贯彻党的二十大精神，用党的科学理论武装青年，用党的初心使命感召青年。把庆祝建党百年激发的爱党爱国爱社会主义热情传递下去，组织大学生学习宣传党的百年奋斗重大成就和历史经验，依托各地红色资源，开展重走红色足迹、追溯红色记忆、访谈红色人物、挖掘红色故事、体悟红色文化等多种形式的活动，以重要时间节点为契机深化仪式教育，持之以恒推进党史学习教育常态化长效化，引导大学生弘扬伟大建党精神，让红色基因、革命薪火代代传承。</w:t>
      </w:r>
    </w:p>
    <w:p w14:paraId="64587932" w14:textId="77777777" w:rsidR="00CD16C2" w:rsidRDefault="00000000">
      <w:pPr>
        <w:pStyle w:val="A8"/>
        <w:spacing w:line="500" w:lineRule="exact"/>
        <w:ind w:firstLineChars="200" w:firstLine="6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2.聚焦理论普及宣讲。组织大学生走进基层、边远地区、社区、农村、军营等，面向最广大的普通基层人民群众和青少年群体等，深入开展学习宣传贯彻党的二十大精神和习近平新时代中国特色社会主义思想活动，以习近平总书记对青年学生寄语、给青年学生回信、《论党的青年工作》、《习近平与大学生朋友们》等为主要内容，精心设计开展有内涵、接地气、聚人气的宣传教育活动，将理论学习与社会实践相贯通，将深刻性与生动性相统一，开展键对键、面对面、小范围、互动式宣讲，讲透创新理论、讲好发展成就、讲清形势任务、讲明发展前景。</w:t>
      </w:r>
    </w:p>
    <w:p w14:paraId="312E5240" w14:textId="77777777" w:rsidR="00CD16C2" w:rsidRDefault="00000000">
      <w:pPr>
        <w:pStyle w:val="A8"/>
        <w:spacing w:line="500" w:lineRule="exact"/>
        <w:ind w:firstLineChars="200" w:firstLine="6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3.聚焦发展成就观察。聚焦党的十八大以来党和国家事业取得的历史性成就、发生的历史性变革，以中国大地为课堂，以脱贫攻坚重大历史性成就、全面建成小康社会决定性成就等为现实教材，组织大学生在国情考察、社会观察、调查研究、学习体验中了解国情社情民情，感受全过程人民民主生动实践，引导大学生深刻领悟党的领导、领袖领航、制度优势、人民力量的关键作</w:t>
      </w:r>
      <w:r>
        <w:rPr>
          <w:rFonts w:ascii="仿宋" w:eastAsia="仿宋" w:hAnsi="仿宋" w:cs="仿宋_GB2312" w:hint="eastAsia"/>
          <w:color w:val="000000" w:themeColor="text1"/>
          <w:sz w:val="30"/>
          <w:szCs w:val="30"/>
        </w:rPr>
        <w:lastRenderedPageBreak/>
        <w:t>用，深刻领悟“两个确立”的决定性意义，增强“四个意识”、坚定“四个自信”、做到“两个维护”，永远跟党走、奋进新征程。</w:t>
      </w:r>
    </w:p>
    <w:p w14:paraId="591627FB" w14:textId="77777777" w:rsidR="00CD16C2" w:rsidRDefault="00000000">
      <w:pPr>
        <w:pStyle w:val="A8"/>
        <w:spacing w:line="500" w:lineRule="exact"/>
        <w:ind w:firstLineChars="200" w:firstLine="6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4.聚焦服务党政大局。组织动员大学生为全面建成社会主义现代化强国、实现第二个百年奋斗目标，以中国式现代化全面推进中华民族伟大复兴建功立业。深入贯彻落实习近平总书记关于“三农”工作的重要论述，引导大学生助力巩固拓展脱贫攻坚成果同乡村振兴有效衔接，聚焦重点领域和关键环节，投身乡村振兴。贯彻落实中央西藏工作座谈会、中央新疆工作座谈会和中央民族工作会议精神，引导大学生争当民族团结进步的宣传者、示范者和践行者，不断铸牢中华民族共同体意识。围绕深入实施科教兴国战略、人才强国战略、创新驱动发展战略，组织大学生参加“挑战杯”竞赛等科技创新活动，立足社会需求开展科普宣讲、科研攻关和创新成果转化，投身科技自立自强。</w:t>
      </w:r>
    </w:p>
    <w:p w14:paraId="4208B401" w14:textId="77777777" w:rsidR="00CD16C2" w:rsidRDefault="00000000">
      <w:pPr>
        <w:pStyle w:val="A8"/>
        <w:spacing w:line="500" w:lineRule="exact"/>
        <w:ind w:firstLineChars="200" w:firstLine="6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5.聚焦就业创业实践。组织动员大学生进政府、进社区、进园区、进企业，参加政务实践、企业实习、兼职锻炼、职业体验、创业锤炼等实践活动，弘扬劳动精神、奋斗精神、奉献精神、创造精神、勤俭节约精神。围绕实施就业优先战略，依托“三下乡”、“返家乡”和“扬帆计划”等项目，组织大学生深入地方党政机关、事业单位一线岗位承担具体工作，参加与专业方向匹配的企业实习工作，担任乡镇团委及村、社区等基层团组织的兼职干部，到科技部门、科研机构、高新企业进行就业见习、实习实践等，引导学生树立正确择业观、就业观，提高社会化能力和就业能力。</w:t>
      </w:r>
    </w:p>
    <w:p w14:paraId="62EE72D0" w14:textId="77777777" w:rsidR="00CD16C2" w:rsidRDefault="00000000">
      <w:pPr>
        <w:pStyle w:val="A8"/>
        <w:spacing w:line="500" w:lineRule="exact"/>
        <w:ind w:firstLineChars="200" w:firstLine="6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6.聚焦基层志愿服务。引领大学生广泛践行社会主义核心价值观。组织动员大学生投身“美丽中国·青春行动”，积极参与“保护母亲河”行动、“三减一节”、垃圾分类、绿色低碳等活动，深入开展节约粮食主题宣讲和社会实践。推进青年志愿者服</w:t>
      </w:r>
      <w:r>
        <w:rPr>
          <w:rFonts w:ascii="仿宋" w:eastAsia="仿宋" w:hAnsi="仿宋" w:cs="仿宋_GB2312" w:hint="eastAsia"/>
          <w:color w:val="000000" w:themeColor="text1"/>
          <w:sz w:val="30"/>
          <w:szCs w:val="30"/>
        </w:rPr>
        <w:lastRenderedPageBreak/>
        <w:t>务社区行动，开展高校志愿服务提升计划，组织动员大学生在助老助残、关爱青少年、基层社会治理等领域实施“小而美”的常态化志愿服务项目。弘扬志愿服务精神，积极组织带领大学生在疫情防控、大型赛会等志愿服务中贡献青春力量。</w:t>
      </w:r>
    </w:p>
    <w:p w14:paraId="70B77757" w14:textId="6478832F" w:rsidR="00CD16C2" w:rsidRDefault="00000000">
      <w:pPr>
        <w:pStyle w:val="A8"/>
        <w:spacing w:line="500" w:lineRule="exact"/>
        <w:ind w:firstLineChars="200" w:firstLine="602"/>
        <w:rPr>
          <w:rFonts w:ascii="仿宋" w:eastAsia="仿宋" w:hAnsi="仿宋" w:cs="仿宋_GB2312"/>
          <w:b/>
          <w:bCs/>
          <w:color w:val="000000" w:themeColor="text1"/>
          <w:sz w:val="30"/>
          <w:szCs w:val="30"/>
        </w:rPr>
      </w:pPr>
      <w:r>
        <w:rPr>
          <w:rFonts w:ascii="仿宋" w:eastAsia="仿宋" w:hAnsi="仿宋" w:cs="仿宋_GB2312" w:hint="eastAsia"/>
          <w:b/>
          <w:bCs/>
          <w:color w:val="000000" w:themeColor="text1"/>
          <w:sz w:val="30"/>
          <w:szCs w:val="30"/>
        </w:rPr>
        <w:t>二、浙江省重点方向</w:t>
      </w:r>
      <w:r w:rsidR="002020E4">
        <w:rPr>
          <w:rFonts w:ascii="仿宋" w:eastAsia="仿宋" w:hAnsi="仿宋" w:cs="仿宋_GB2312" w:hint="eastAsia"/>
          <w:b/>
          <w:bCs/>
          <w:color w:val="000000" w:themeColor="text1"/>
          <w:sz w:val="30"/>
          <w:szCs w:val="30"/>
        </w:rPr>
        <w:t>（今年未通知，参考去年）</w:t>
      </w:r>
    </w:p>
    <w:p w14:paraId="496A4662" w14:textId="77777777" w:rsidR="00CD16C2" w:rsidRDefault="00000000">
      <w:pPr>
        <w:pStyle w:val="A8"/>
        <w:spacing w:line="500" w:lineRule="exact"/>
        <w:ind w:firstLineChars="200" w:firstLine="602"/>
        <w:rPr>
          <w:rFonts w:ascii="仿宋" w:eastAsia="仿宋" w:hAnsi="仿宋" w:cs="仿宋_GB2312"/>
          <w:sz w:val="30"/>
          <w:szCs w:val="30"/>
        </w:rPr>
      </w:pPr>
      <w:r>
        <w:rPr>
          <w:rFonts w:ascii="仿宋" w:eastAsia="仿宋" w:hAnsi="仿宋" w:cs="仿宋_GB2312" w:hint="eastAsia"/>
          <w:b/>
          <w:bCs/>
          <w:sz w:val="30"/>
          <w:szCs w:val="30"/>
        </w:rPr>
        <w:t>1.理论普及宣讲团。</w:t>
      </w:r>
      <w:r>
        <w:rPr>
          <w:rFonts w:ascii="仿宋" w:eastAsia="仿宋" w:hAnsi="仿宋" w:cs="仿宋_GB2312" w:hint="eastAsia"/>
          <w:sz w:val="30"/>
          <w:szCs w:val="30"/>
        </w:rPr>
        <w:t>紧紧围绕迎接党的二十大胜利召开，精心设计开展有内涵、有人气的宣传教育活动。深入开展学习宣传贯彻习近平新时代中国特色社会主义思想活动，组织引导青年学生深入基层一线，以习近平总书记对青年学生寄语、给青年学生回信精神、《习近平与大学生朋友们》等为主要内容，将理论学习与社会实践贯通起来，将深刻性和生动性统一起来，通过面对面、小范围、互动式宣讲，讲透创新理论、讲好发展成就、讲清形势任务、讲明发展前景。</w:t>
      </w:r>
    </w:p>
    <w:p w14:paraId="0D1AE829" w14:textId="77777777" w:rsidR="00CD16C2" w:rsidRDefault="00000000">
      <w:pPr>
        <w:pStyle w:val="A8"/>
        <w:spacing w:line="500" w:lineRule="exact"/>
        <w:ind w:firstLineChars="200" w:firstLine="602"/>
        <w:rPr>
          <w:rFonts w:ascii="仿宋" w:eastAsia="仿宋" w:hAnsi="仿宋" w:cs="仿宋_GB2312"/>
          <w:sz w:val="30"/>
          <w:szCs w:val="30"/>
        </w:rPr>
      </w:pPr>
      <w:r>
        <w:rPr>
          <w:rFonts w:ascii="仿宋" w:eastAsia="仿宋" w:hAnsi="仿宋" w:cs="仿宋_GB2312" w:hint="eastAsia"/>
          <w:b/>
          <w:bCs/>
          <w:sz w:val="30"/>
          <w:szCs w:val="30"/>
        </w:rPr>
        <w:t>2.党史学习教育团。</w:t>
      </w:r>
      <w:r>
        <w:rPr>
          <w:rFonts w:ascii="仿宋" w:eastAsia="仿宋" w:hAnsi="仿宋" w:cs="仿宋_GB2312" w:hint="eastAsia"/>
          <w:sz w:val="30"/>
          <w:szCs w:val="30"/>
        </w:rPr>
        <w:t>深化学习宣传贯彻党的十九届六中全会精神，把庆祝建党百年激发的爱党爱国爱社会主义热情传递下去，学习宣传党的百年奋斗重大成就和历史经验，依托各地红色资源，开展重走红色足迹、追溯红色记忆、访谈红色人物、挖掘红色故事、体悟红色文化等多种形式活动，持之以恒推进党史学习教育常态化长效化，引导青年学生学史明理、学史增信、学史崇德、学史力行。</w:t>
      </w:r>
    </w:p>
    <w:p w14:paraId="5C49161B" w14:textId="3CC67A53" w:rsidR="00CD16C2" w:rsidRDefault="00000000">
      <w:pPr>
        <w:pStyle w:val="A8"/>
        <w:spacing w:line="500" w:lineRule="exact"/>
        <w:ind w:firstLineChars="200" w:firstLine="602"/>
        <w:rPr>
          <w:rFonts w:ascii="仿宋" w:eastAsia="仿宋" w:hAnsi="仿宋" w:cs="仿宋_GB2312"/>
          <w:sz w:val="30"/>
          <w:szCs w:val="30"/>
        </w:rPr>
      </w:pPr>
      <w:r>
        <w:rPr>
          <w:rFonts w:ascii="仿宋" w:eastAsia="仿宋" w:hAnsi="仿宋" w:cs="仿宋_GB2312" w:hint="eastAsia"/>
          <w:b/>
          <w:bCs/>
          <w:sz w:val="30"/>
          <w:szCs w:val="30"/>
        </w:rPr>
        <w:t>3.乡村振兴促进团。</w:t>
      </w:r>
      <w:r>
        <w:rPr>
          <w:rFonts w:ascii="仿宋" w:eastAsia="仿宋" w:hAnsi="仿宋" w:cs="仿宋_GB2312" w:hint="eastAsia"/>
          <w:sz w:val="30"/>
          <w:szCs w:val="30"/>
        </w:rPr>
        <w:t>深入贯彻落实习近平总书记关于“三农”工作的重要论述，帮助和引导青年学生紧紧围绕“国之大者”深刻领会感悟为什么要推进乡村振兴、如何推进乡村振兴等系列重大理论和实践问题。发动青年学生了解认知乡村，特别是省内山区26 县的乡村发展状况，积极助力巩固拓展脱贫攻坚成果同乡村振兴有效衔接，广泛实施教育关爱、爱心医疗、科技支农、基层社会治理、生态文明建设等领域的重点项目，帮助发展乡村产</w:t>
      </w:r>
      <w:r>
        <w:rPr>
          <w:rFonts w:ascii="仿宋" w:eastAsia="仿宋" w:hAnsi="仿宋" w:cs="仿宋_GB2312" w:hint="eastAsia"/>
          <w:sz w:val="30"/>
          <w:szCs w:val="30"/>
        </w:rPr>
        <w:lastRenderedPageBreak/>
        <w:t>业，改善基础设施，美化乡村环境，提升乡风文明，促进乡村公共服务，讲好乡村振兴故事。</w:t>
      </w:r>
    </w:p>
    <w:p w14:paraId="7AE1DFE6" w14:textId="77777777" w:rsidR="00CD16C2" w:rsidRDefault="00000000">
      <w:pPr>
        <w:pStyle w:val="A8"/>
        <w:spacing w:line="500" w:lineRule="exact"/>
        <w:ind w:firstLineChars="200" w:firstLine="602"/>
        <w:rPr>
          <w:rFonts w:ascii="仿宋" w:eastAsia="仿宋" w:hAnsi="仿宋" w:cs="仿宋_GB2312"/>
          <w:sz w:val="30"/>
          <w:szCs w:val="30"/>
        </w:rPr>
      </w:pPr>
      <w:r>
        <w:rPr>
          <w:rFonts w:ascii="仿宋" w:eastAsia="仿宋" w:hAnsi="仿宋" w:cs="仿宋_GB2312" w:hint="eastAsia"/>
          <w:b/>
          <w:bCs/>
          <w:sz w:val="30"/>
          <w:szCs w:val="30"/>
        </w:rPr>
        <w:t>4.发展成就观察团。</w:t>
      </w:r>
      <w:r>
        <w:rPr>
          <w:rFonts w:ascii="仿宋" w:eastAsia="仿宋" w:hAnsi="仿宋" w:cs="仿宋_GB2312" w:hint="eastAsia"/>
          <w:sz w:val="30"/>
          <w:szCs w:val="30"/>
        </w:rPr>
        <w:t>聚焦党的十八大以来党和国家取得的历史性成就、发生的历史性变革，以中国大地为课堂，以疫情防控重大战略成果、脱贫攻坚历史性成就、全面建 成小康社会决定性成就等为现实教材，组织青年学生在社会观察、国情考察、基层治理参与、特色产业调研、学习体验中了解国情社情民情，感受祖国发展变化，感受全过程人民民主的生动实践，引导青年学生深刻领悟党的领导、领袖领航、制度优势、人民力量的关键作用，形成正确认识，坚定理想信念，站稳人民立场，投身强国伟业。</w:t>
      </w:r>
    </w:p>
    <w:p w14:paraId="46576F71" w14:textId="77777777" w:rsidR="00CD16C2" w:rsidRDefault="00000000">
      <w:pPr>
        <w:pStyle w:val="A8"/>
        <w:spacing w:line="500" w:lineRule="exact"/>
        <w:ind w:firstLineChars="200" w:firstLine="602"/>
        <w:rPr>
          <w:rFonts w:ascii="仿宋" w:eastAsia="仿宋" w:hAnsi="仿宋" w:cs="仿宋_GB2312"/>
          <w:sz w:val="30"/>
          <w:szCs w:val="30"/>
        </w:rPr>
      </w:pPr>
      <w:r>
        <w:rPr>
          <w:rFonts w:ascii="仿宋" w:eastAsia="仿宋" w:hAnsi="仿宋" w:cs="仿宋_GB2312" w:hint="eastAsia"/>
          <w:b/>
          <w:bCs/>
          <w:sz w:val="30"/>
          <w:szCs w:val="30"/>
        </w:rPr>
        <w:t>5. 民族团结实践团。</w:t>
      </w:r>
      <w:r>
        <w:rPr>
          <w:rFonts w:ascii="仿宋" w:eastAsia="仿宋" w:hAnsi="仿宋" w:cs="仿宋_GB2312" w:hint="eastAsia"/>
          <w:sz w:val="30"/>
          <w:szCs w:val="30"/>
        </w:rPr>
        <w:t>贯彻落实中央民族工作会议、中央第七次西藏工作座谈会和第三次中央新疆工作座谈会精神，组织内地新疆籍、西藏籍大学生开展“民族团结我践行”社会实践活动，组织内地大学生到新疆、西藏等地以及省内少数民族县镇、集中居住地等开展国情考察、地球第三极保护行动等社会实践活动，帮助和引导青年学生通过实地调研和观察，深入了解民族团结现状，充分感知民族地区发生的翻天覆地的变化，当好民族团结的宣传者、示范者和践行者，不断铸牢中华民族共同体意识。</w:t>
      </w:r>
    </w:p>
    <w:p w14:paraId="235B29AE" w14:textId="77777777" w:rsidR="00CD16C2" w:rsidRDefault="00000000">
      <w:pPr>
        <w:pStyle w:val="A8"/>
        <w:spacing w:line="500" w:lineRule="exact"/>
        <w:ind w:firstLineChars="200" w:firstLine="602"/>
        <w:rPr>
          <w:rFonts w:ascii="仿宋" w:eastAsia="仿宋" w:hAnsi="仿宋" w:cs="仿宋_GB2312"/>
          <w:sz w:val="30"/>
          <w:szCs w:val="30"/>
        </w:rPr>
      </w:pPr>
      <w:r>
        <w:rPr>
          <w:rFonts w:ascii="仿宋" w:eastAsia="仿宋" w:hAnsi="仿宋" w:cs="仿宋_GB2312" w:hint="eastAsia"/>
          <w:b/>
          <w:bCs/>
          <w:sz w:val="30"/>
          <w:szCs w:val="30"/>
        </w:rPr>
        <w:t>6.共同富裕实践团。</w:t>
      </w:r>
      <w:r>
        <w:rPr>
          <w:rFonts w:ascii="仿宋" w:eastAsia="仿宋" w:hAnsi="仿宋" w:cs="仿宋_GB2312" w:hint="eastAsia"/>
          <w:sz w:val="30"/>
          <w:szCs w:val="30"/>
        </w:rPr>
        <w:t>对标党中央、国务院支持浙江高质量发展建设共同富裕示范区的具体要求，组织大学生发挥专业学科教育优势，深入开展高质量发展高品质生活先行区、城乡区域协调发展引领区、收入分配制度改革试验区、文明和谐美丽家园展示区建设实践调研活动。</w:t>
      </w:r>
    </w:p>
    <w:p w14:paraId="7B5AB3B3" w14:textId="77777777" w:rsidR="00CD16C2" w:rsidRDefault="00000000">
      <w:pPr>
        <w:pStyle w:val="A8"/>
        <w:spacing w:line="500" w:lineRule="exact"/>
        <w:ind w:firstLineChars="200" w:firstLine="602"/>
        <w:rPr>
          <w:rFonts w:ascii="仿宋" w:eastAsia="仿宋" w:hAnsi="仿宋" w:cs="仿宋_GB2312"/>
          <w:sz w:val="30"/>
          <w:szCs w:val="30"/>
        </w:rPr>
      </w:pPr>
      <w:r>
        <w:rPr>
          <w:rFonts w:ascii="仿宋" w:eastAsia="仿宋" w:hAnsi="仿宋" w:cs="仿宋_GB2312" w:hint="eastAsia"/>
          <w:b/>
          <w:bCs/>
          <w:sz w:val="30"/>
          <w:szCs w:val="30"/>
        </w:rPr>
        <w:t>7.数字浙江实践团。</w:t>
      </w:r>
      <w:r>
        <w:rPr>
          <w:rFonts w:ascii="仿宋" w:eastAsia="仿宋" w:hAnsi="仿宋" w:cs="仿宋_GB2312" w:hint="eastAsia"/>
          <w:sz w:val="30"/>
          <w:szCs w:val="30"/>
        </w:rPr>
        <w:t>围绕建设“数字浙江”的总体目标，对标全方位纵深推进数字化改革的具体要求，组织大学生深入群众、深入基层开展专项调研活动，进一步挖掘数字化改革在党建统领</w:t>
      </w:r>
      <w:r>
        <w:rPr>
          <w:rFonts w:ascii="仿宋" w:eastAsia="仿宋" w:hAnsi="仿宋" w:cs="仿宋_GB2312" w:hint="eastAsia"/>
          <w:sz w:val="30"/>
          <w:szCs w:val="30"/>
        </w:rPr>
        <w:lastRenderedPageBreak/>
        <w:t>整体智治、数字政府、数字经济、数字社会、数字文化、数字法治六大重点领域的标志性成果，并形成相应实践调研报告。</w:t>
      </w:r>
    </w:p>
    <w:p w14:paraId="61ACE2C5" w14:textId="77777777" w:rsidR="00CD16C2" w:rsidRDefault="00000000">
      <w:pPr>
        <w:pStyle w:val="A8"/>
        <w:spacing w:line="500" w:lineRule="exact"/>
        <w:ind w:firstLineChars="200" w:firstLine="602"/>
        <w:rPr>
          <w:rFonts w:ascii="仿宋" w:eastAsia="仿宋" w:hAnsi="仿宋" w:cs="仿宋_GB2312"/>
          <w:sz w:val="30"/>
          <w:szCs w:val="30"/>
        </w:rPr>
      </w:pPr>
      <w:r>
        <w:rPr>
          <w:rFonts w:ascii="仿宋" w:eastAsia="仿宋" w:hAnsi="仿宋" w:cs="仿宋_GB2312" w:hint="eastAsia"/>
          <w:b/>
          <w:bCs/>
          <w:sz w:val="30"/>
          <w:szCs w:val="30"/>
        </w:rPr>
        <w:t>8.文明新风实践团。</w:t>
      </w:r>
      <w:r>
        <w:rPr>
          <w:rFonts w:ascii="仿宋" w:eastAsia="仿宋" w:hAnsi="仿宋" w:cs="仿宋_GB2312" w:hint="eastAsia"/>
          <w:sz w:val="30"/>
          <w:szCs w:val="30"/>
        </w:rPr>
        <w:t>围绕进一步加强农村基层宣传思想文化工作和精神文明建设，引导大学生走进基层、走进群众，积极投身新时代文明实践中心建设，开展课后服务、组织社会调查、开展文体活动、促进基层团建、培育践行主流价值、持续深入移风易俗等实践活动。</w:t>
      </w:r>
    </w:p>
    <w:p w14:paraId="40848C70" w14:textId="77777777" w:rsidR="00CD16C2" w:rsidRDefault="00000000">
      <w:pPr>
        <w:pStyle w:val="A8"/>
        <w:spacing w:line="500" w:lineRule="exact"/>
        <w:ind w:firstLineChars="200" w:firstLine="602"/>
        <w:rPr>
          <w:rFonts w:ascii="仿宋" w:eastAsia="仿宋" w:hAnsi="仿宋" w:cs="仿宋_GB2312"/>
          <w:sz w:val="30"/>
          <w:szCs w:val="30"/>
        </w:rPr>
      </w:pPr>
      <w:r>
        <w:rPr>
          <w:rFonts w:ascii="仿宋" w:eastAsia="仿宋" w:hAnsi="仿宋" w:cs="仿宋_GB2312" w:hint="eastAsia"/>
          <w:b/>
          <w:bCs/>
          <w:sz w:val="30"/>
          <w:szCs w:val="30"/>
        </w:rPr>
        <w:t>9.美丽浙江实践团。</w:t>
      </w:r>
      <w:r>
        <w:rPr>
          <w:rFonts w:ascii="仿宋" w:eastAsia="仿宋" w:hAnsi="仿宋" w:cs="仿宋_GB2312" w:hint="eastAsia"/>
          <w:sz w:val="30"/>
          <w:szCs w:val="30"/>
        </w:rPr>
        <w:t>聚焦美丽浙江建设和打好污染防治攻坚战，鼓励大学生积极参与长江经济带共抓大保护、“千万工程”等重点工作，深入乡村、社区开展环境治理、科普宣讲、社会调研、发展献策等活动，讲好美丽浙江故事。</w:t>
      </w:r>
    </w:p>
    <w:p w14:paraId="380C7B9B" w14:textId="77777777" w:rsidR="00CD16C2" w:rsidRDefault="00000000">
      <w:pPr>
        <w:pStyle w:val="A8"/>
        <w:spacing w:line="500" w:lineRule="exact"/>
        <w:ind w:firstLineChars="200" w:firstLine="602"/>
        <w:rPr>
          <w:rFonts w:ascii="仿宋" w:eastAsia="仿宋" w:hAnsi="仿宋" w:cs="仿宋_GB2312"/>
          <w:sz w:val="30"/>
          <w:szCs w:val="30"/>
        </w:rPr>
      </w:pPr>
      <w:r>
        <w:rPr>
          <w:rFonts w:ascii="仿宋" w:eastAsia="仿宋" w:hAnsi="仿宋" w:cs="仿宋_GB2312" w:hint="eastAsia"/>
          <w:b/>
          <w:bCs/>
          <w:sz w:val="30"/>
          <w:szCs w:val="30"/>
        </w:rPr>
        <w:t>10.反邪教宣传实践团。</w:t>
      </w:r>
      <w:r>
        <w:rPr>
          <w:rFonts w:ascii="仿宋" w:eastAsia="仿宋" w:hAnsi="仿宋" w:cs="仿宋_GB2312" w:hint="eastAsia"/>
          <w:sz w:val="30"/>
          <w:szCs w:val="30"/>
        </w:rPr>
        <w:t>结合实践地实际情况，以反邪宣讲、科普宣传、法治普及、社区服务、调查研究等形式多样活动，向基层群众宣传党和政府关于防范和处理邪教问题的政策法规，提高基层群众识邪、防邪、拒邪的基础素养。</w:t>
      </w:r>
    </w:p>
    <w:p w14:paraId="51EEB7C2" w14:textId="77777777" w:rsidR="00CD16C2" w:rsidRDefault="00000000">
      <w:pPr>
        <w:pStyle w:val="A8"/>
        <w:spacing w:line="360" w:lineRule="auto"/>
        <w:ind w:firstLineChars="200" w:firstLine="602"/>
        <w:rPr>
          <w:rFonts w:ascii="黑体" w:eastAsia="黑体" w:hAnsi="黑体" w:cs="黑体"/>
          <w:b/>
          <w:bCs/>
          <w:sz w:val="30"/>
          <w:szCs w:val="30"/>
        </w:rPr>
      </w:pPr>
      <w:r>
        <w:rPr>
          <w:rFonts w:ascii="仿宋" w:eastAsia="仿宋" w:hAnsi="仿宋" w:cs="仿宋_GB2312" w:hint="eastAsia"/>
          <w:b/>
          <w:bCs/>
          <w:color w:val="000000" w:themeColor="text1"/>
          <w:sz w:val="30"/>
          <w:szCs w:val="30"/>
          <w:lang w:eastAsia="zh-TW"/>
        </w:rPr>
        <w:t>三、学校思想政治理论课实践教学选题指南</w:t>
      </w:r>
    </w:p>
    <w:p w14:paraId="4E0C6E22" w14:textId="77777777" w:rsidR="00CD16C2" w:rsidRDefault="00000000">
      <w:pPr>
        <w:pStyle w:val="A8"/>
        <w:spacing w:line="500" w:lineRule="exact"/>
        <w:ind w:firstLineChars="200" w:firstLine="602"/>
        <w:rPr>
          <w:rFonts w:ascii="仿宋" w:eastAsia="仿宋" w:hAnsi="仿宋" w:cs="仿宋_GB2312"/>
          <w:color w:val="000000" w:themeColor="text1"/>
          <w:sz w:val="30"/>
          <w:szCs w:val="30"/>
        </w:rPr>
      </w:pPr>
      <w:r>
        <w:rPr>
          <w:rFonts w:ascii="仿宋" w:eastAsia="仿宋" w:hAnsi="仿宋" w:cs="仿宋_GB2312" w:hint="eastAsia"/>
          <w:b/>
          <w:bCs/>
          <w:color w:val="000000" w:themeColor="text1"/>
          <w:sz w:val="30"/>
          <w:szCs w:val="30"/>
        </w:rPr>
        <w:t>1.经济领域实践团</w:t>
      </w:r>
      <w:r>
        <w:rPr>
          <w:rFonts w:ascii="仿宋" w:eastAsia="仿宋" w:hAnsi="仿宋" w:cs="仿宋_GB2312" w:hint="eastAsia"/>
          <w:color w:val="000000" w:themeColor="text1"/>
          <w:sz w:val="30"/>
          <w:szCs w:val="30"/>
        </w:rPr>
        <w:t>：数字经济创新提质“一号发展工程”、营商环境优化提升“一号改革工程”、“地瓜经济”提能升级“一号开放工程”、八八战略实施二十周年浙江经济建设成就经验、浙江全面实施乡村振兴战略高水平推进农业农村现代化行动、共同富裕示范区建设的经济基础、经济建设领域的两个先行实践探索等。</w:t>
      </w:r>
    </w:p>
    <w:p w14:paraId="4DE9F454" w14:textId="77777777" w:rsidR="00CD16C2" w:rsidRDefault="00000000">
      <w:pPr>
        <w:pStyle w:val="A8"/>
        <w:spacing w:line="500" w:lineRule="exact"/>
        <w:ind w:firstLineChars="200" w:firstLine="602"/>
        <w:rPr>
          <w:rFonts w:ascii="仿宋" w:eastAsia="仿宋" w:hAnsi="仿宋" w:cs="仿宋_GB2312"/>
          <w:color w:val="000000" w:themeColor="text1"/>
          <w:sz w:val="30"/>
          <w:szCs w:val="30"/>
        </w:rPr>
      </w:pPr>
      <w:r>
        <w:rPr>
          <w:rFonts w:ascii="仿宋" w:eastAsia="仿宋" w:hAnsi="仿宋" w:cs="仿宋_GB2312" w:hint="eastAsia"/>
          <w:b/>
          <w:bCs/>
          <w:color w:val="000000" w:themeColor="text1"/>
          <w:sz w:val="30"/>
          <w:szCs w:val="30"/>
        </w:rPr>
        <w:t>2.政治领域实践团</w:t>
      </w:r>
      <w:r>
        <w:rPr>
          <w:rFonts w:ascii="仿宋" w:eastAsia="仿宋" w:hAnsi="仿宋" w:cs="仿宋_GB2312" w:hint="eastAsia"/>
          <w:color w:val="000000" w:themeColor="text1"/>
          <w:sz w:val="30"/>
          <w:szCs w:val="30"/>
        </w:rPr>
        <w:t xml:space="preserve">：共同富裕示范区和社会主义现代化先行省建设、“浦江经验”、“千万工程”、浙江高水平推进省域治理现代化的实践、民主政治建设的浙江实践、法治浙江建设、协商民主的浙江实践、政府数字化转型的浙江实践、浙江整体智治体系和现代政府建设、政治建设领域的两个先行实践探索等。 </w:t>
      </w:r>
    </w:p>
    <w:p w14:paraId="234F1C86" w14:textId="77777777" w:rsidR="00CD16C2" w:rsidRDefault="00000000">
      <w:pPr>
        <w:pStyle w:val="A8"/>
        <w:spacing w:line="500" w:lineRule="exact"/>
        <w:ind w:firstLineChars="200" w:firstLine="602"/>
        <w:rPr>
          <w:rFonts w:ascii="仿宋" w:eastAsia="仿宋" w:hAnsi="仿宋" w:cs="仿宋_GB2312"/>
          <w:color w:val="000000" w:themeColor="text1"/>
          <w:sz w:val="30"/>
          <w:szCs w:val="30"/>
        </w:rPr>
      </w:pPr>
      <w:r>
        <w:rPr>
          <w:rFonts w:ascii="仿宋" w:eastAsia="仿宋" w:hAnsi="仿宋" w:cs="仿宋_GB2312" w:hint="eastAsia"/>
          <w:b/>
          <w:bCs/>
          <w:color w:val="000000" w:themeColor="text1"/>
          <w:sz w:val="30"/>
          <w:szCs w:val="30"/>
        </w:rPr>
        <w:lastRenderedPageBreak/>
        <w:t>3.文化领域实践团</w:t>
      </w:r>
      <w:r>
        <w:rPr>
          <w:rFonts w:ascii="仿宋" w:eastAsia="仿宋" w:hAnsi="仿宋" w:cs="仿宋_GB2312" w:hint="eastAsia"/>
          <w:color w:val="000000" w:themeColor="text1"/>
          <w:sz w:val="30"/>
          <w:szCs w:val="30"/>
        </w:rPr>
        <w:t>：学习贯彻习近平新时代中国特色社会主义思想主题教育活动、精神共同富裕的浙江探索、八八战略实施二十周年纪念活动、文化强省建设、浙江守好红色根脉，发扬红船精神与伟大建党精神、浙西南革命精神、与时俱进的浙江精神、浙商“四千精神”、“千万工程”、文化建设领域的两个先行实践探索等。</w:t>
      </w:r>
    </w:p>
    <w:p w14:paraId="2D060AA3" w14:textId="77777777" w:rsidR="00CD16C2" w:rsidRDefault="00000000">
      <w:pPr>
        <w:pStyle w:val="A8"/>
        <w:spacing w:line="500" w:lineRule="exact"/>
        <w:ind w:firstLineChars="200" w:firstLine="602"/>
        <w:rPr>
          <w:rFonts w:ascii="仿宋" w:eastAsia="仿宋" w:hAnsi="仿宋" w:cs="仿宋_GB2312"/>
          <w:color w:val="000000" w:themeColor="text1"/>
          <w:sz w:val="30"/>
          <w:szCs w:val="30"/>
        </w:rPr>
      </w:pPr>
      <w:r>
        <w:rPr>
          <w:rFonts w:ascii="仿宋" w:eastAsia="仿宋" w:hAnsi="仿宋" w:cs="仿宋_GB2312" w:hint="eastAsia"/>
          <w:b/>
          <w:bCs/>
          <w:color w:val="000000" w:themeColor="text1"/>
          <w:sz w:val="30"/>
          <w:szCs w:val="30"/>
        </w:rPr>
        <w:t>4.社会领域实践团</w:t>
      </w:r>
      <w:r>
        <w:rPr>
          <w:rFonts w:ascii="仿宋" w:eastAsia="仿宋" w:hAnsi="仿宋" w:cs="仿宋_GB2312" w:hint="eastAsia"/>
          <w:color w:val="000000" w:themeColor="text1"/>
          <w:sz w:val="30"/>
          <w:szCs w:val="30"/>
        </w:rPr>
        <w:t>：助力山区26县同步迈向现代化和共同富裕、平安浙江建设、乡村振兴战略与社会建设、“最多跑一次”改革的浙江经验、浙江未来社区建设、党建统领的自治、法治、德治、智治融合基层治理体系、义务教育优质均衡发展、“浦江经验”、“千万工程”、 “智慧民生”工程、数字社会重点应用场景建设、“城市大脑”建设、共同富裕示范区建设的民生基础、社会建设领域的两个先行实践探索等。</w:t>
      </w:r>
    </w:p>
    <w:p w14:paraId="5BD2CD67" w14:textId="77777777" w:rsidR="00CD16C2" w:rsidRDefault="00000000">
      <w:pPr>
        <w:pStyle w:val="A8"/>
        <w:spacing w:line="500" w:lineRule="exact"/>
        <w:ind w:firstLineChars="200" w:firstLine="602"/>
      </w:pPr>
      <w:r>
        <w:rPr>
          <w:rFonts w:ascii="仿宋" w:eastAsia="仿宋" w:hAnsi="仿宋" w:cs="仿宋_GB2312" w:hint="eastAsia"/>
          <w:b/>
          <w:bCs/>
          <w:color w:val="000000" w:themeColor="text1"/>
          <w:sz w:val="30"/>
          <w:szCs w:val="30"/>
        </w:rPr>
        <w:t>5.生态文明领域实践团</w:t>
      </w:r>
      <w:r>
        <w:rPr>
          <w:rFonts w:ascii="仿宋" w:eastAsia="仿宋" w:hAnsi="仿宋" w:cs="仿宋_GB2312" w:hint="eastAsia"/>
          <w:color w:val="000000" w:themeColor="text1"/>
          <w:sz w:val="30"/>
          <w:szCs w:val="30"/>
        </w:rPr>
        <w:t>：八八战略实施二十周年纪念活动、“两山理论”在浙江的萌发与实践、美丽浙江建设、“诗画浙江”大花园建设、山水林田湖草生命共同体建设的浙江实践、浙江落实碳达峰、碳中和要求的实践探索、“千万工程”与美丽浙江建设、垃圾分类的“浙江模式”、打赢蓝天保卫战的浙江行动、共同富裕示范区建设的生态文明基础、生态文明建设领域的两个先行实践探索等。</w:t>
      </w:r>
      <w:r>
        <w:br w:type="page"/>
      </w:r>
    </w:p>
    <w:p w14:paraId="411EDF7B" w14:textId="77777777" w:rsidR="00CD16C2" w:rsidRDefault="00000000">
      <w:pPr>
        <w:snapToGrid w:val="0"/>
        <w:spacing w:line="360" w:lineRule="auto"/>
        <w:jc w:val="center"/>
        <w:rPr>
          <w:b/>
          <w:bCs/>
          <w:sz w:val="32"/>
          <w:szCs w:val="32"/>
          <w:lang w:eastAsia="zh-CN"/>
        </w:rPr>
      </w:pPr>
      <w:r>
        <w:rPr>
          <w:rFonts w:hint="eastAsia"/>
          <w:b/>
          <w:bCs/>
          <w:sz w:val="32"/>
          <w:szCs w:val="32"/>
          <w:lang w:eastAsia="zh-CN"/>
        </w:rPr>
        <w:lastRenderedPageBreak/>
        <w:t xml:space="preserve"> </w:t>
      </w:r>
    </w:p>
    <w:p w14:paraId="58703D36" w14:textId="77777777" w:rsidR="00CD16C2" w:rsidRDefault="00000000">
      <w:pPr>
        <w:pStyle w:val="A8"/>
        <w:spacing w:line="520" w:lineRule="exact"/>
        <w:jc w:val="center"/>
        <w:rPr>
          <w:rFonts w:ascii="华文中宋" w:eastAsia="华文中宋" w:hAnsi="华文中宋"/>
          <w:b/>
          <w:spacing w:val="-6"/>
          <w:sz w:val="36"/>
          <w:szCs w:val="36"/>
        </w:rPr>
      </w:pPr>
      <w:r>
        <w:rPr>
          <w:rFonts w:ascii="华文中宋" w:eastAsia="华文中宋" w:hAnsi="华文中宋" w:hint="eastAsia"/>
          <w:b/>
          <w:spacing w:val="-6"/>
          <w:sz w:val="36"/>
          <w:szCs w:val="36"/>
        </w:rPr>
        <w:t>浙江工业大学思想政治理论课社会实践报告要求</w:t>
      </w:r>
    </w:p>
    <w:p w14:paraId="64E91E0D" w14:textId="77777777" w:rsidR="00CD16C2" w:rsidRDefault="00CD16C2">
      <w:pPr>
        <w:snapToGrid w:val="0"/>
        <w:spacing w:line="360" w:lineRule="auto"/>
        <w:jc w:val="center"/>
        <w:rPr>
          <w:b/>
          <w:bCs/>
          <w:sz w:val="32"/>
          <w:szCs w:val="32"/>
          <w:lang w:eastAsia="zh-CN"/>
        </w:rPr>
      </w:pPr>
    </w:p>
    <w:p w14:paraId="5E32C5F7" w14:textId="77777777" w:rsidR="00CD16C2" w:rsidRDefault="00000000">
      <w:pPr>
        <w:snapToGrid w:val="0"/>
        <w:spacing w:line="360" w:lineRule="auto"/>
        <w:ind w:firstLineChars="200" w:firstLine="602"/>
        <w:rPr>
          <w:rFonts w:ascii="仿宋" w:eastAsia="仿宋" w:hAnsi="仿宋" w:cs="Calibri"/>
          <w:b/>
          <w:color w:val="000000"/>
          <w:kern w:val="2"/>
          <w:sz w:val="30"/>
          <w:szCs w:val="30"/>
          <w:u w:color="000000"/>
          <w:lang w:eastAsia="zh-CN"/>
        </w:rPr>
      </w:pPr>
      <w:r>
        <w:rPr>
          <w:rFonts w:ascii="仿宋" w:eastAsia="仿宋" w:hAnsi="仿宋" w:cs="Calibri" w:hint="eastAsia"/>
          <w:b/>
          <w:color w:val="000000"/>
          <w:kern w:val="2"/>
          <w:sz w:val="30"/>
          <w:szCs w:val="30"/>
          <w:u w:color="000000"/>
          <w:lang w:eastAsia="zh-CN"/>
        </w:rPr>
        <w:t>社会实践报告</w:t>
      </w:r>
      <w:r>
        <w:rPr>
          <w:rFonts w:ascii="仿宋" w:eastAsia="仿宋" w:hAnsi="仿宋" w:cs="Calibri"/>
          <w:b/>
          <w:color w:val="000000"/>
          <w:kern w:val="2"/>
          <w:sz w:val="30"/>
          <w:szCs w:val="30"/>
          <w:u w:color="000000"/>
          <w:lang w:eastAsia="zh-CN"/>
        </w:rPr>
        <w:t>应包括以</w:t>
      </w:r>
      <w:r>
        <w:rPr>
          <w:rFonts w:ascii="仿宋" w:eastAsia="仿宋" w:hAnsi="仿宋" w:cs="Calibri" w:hint="eastAsia"/>
          <w:b/>
          <w:color w:val="000000"/>
          <w:kern w:val="2"/>
          <w:sz w:val="30"/>
          <w:szCs w:val="30"/>
          <w:u w:color="000000"/>
          <w:lang w:eastAsia="zh-CN"/>
        </w:rPr>
        <w:t>下项目</w:t>
      </w:r>
      <w:r>
        <w:rPr>
          <w:rFonts w:ascii="仿宋" w:eastAsia="仿宋" w:hAnsi="仿宋" w:cs="Calibri"/>
          <w:b/>
          <w:color w:val="000000"/>
          <w:kern w:val="2"/>
          <w:sz w:val="30"/>
          <w:szCs w:val="30"/>
          <w:u w:color="000000"/>
          <w:lang w:eastAsia="zh-CN"/>
        </w:rPr>
        <w:t>：</w:t>
      </w:r>
    </w:p>
    <w:p w14:paraId="5CE18E7D" w14:textId="77777777" w:rsidR="00CD16C2" w:rsidRDefault="00000000">
      <w:pPr>
        <w:snapToGrid w:val="0"/>
        <w:spacing w:line="360" w:lineRule="auto"/>
        <w:ind w:firstLineChars="200" w:firstLine="600"/>
        <w:rPr>
          <w:rFonts w:ascii="仿宋" w:eastAsia="仿宋" w:hAnsi="仿宋" w:cs="Calibri"/>
          <w:color w:val="000000"/>
          <w:kern w:val="2"/>
          <w:sz w:val="30"/>
          <w:szCs w:val="30"/>
          <w:u w:color="000000"/>
          <w:lang w:eastAsia="zh-CN"/>
        </w:rPr>
      </w:pPr>
      <w:r>
        <w:rPr>
          <w:rFonts w:ascii="仿宋" w:eastAsia="仿宋" w:hAnsi="仿宋" w:cs="Calibri"/>
          <w:color w:val="000000"/>
          <w:kern w:val="2"/>
          <w:sz w:val="30"/>
          <w:szCs w:val="30"/>
          <w:u w:color="000000"/>
          <w:lang w:eastAsia="zh-CN"/>
        </w:rPr>
        <w:t>（1）封面（</w:t>
      </w:r>
      <w:r>
        <w:rPr>
          <w:rFonts w:ascii="仿宋" w:eastAsia="仿宋" w:hAnsi="仿宋" w:cs="Calibri" w:hint="eastAsia"/>
          <w:color w:val="000000"/>
          <w:kern w:val="2"/>
          <w:sz w:val="30"/>
          <w:szCs w:val="30"/>
          <w:u w:color="000000"/>
          <w:lang w:eastAsia="zh-CN"/>
        </w:rPr>
        <w:t>含报告</w:t>
      </w:r>
      <w:r>
        <w:rPr>
          <w:rFonts w:ascii="仿宋" w:eastAsia="仿宋" w:hAnsi="仿宋" w:cs="Calibri"/>
          <w:color w:val="000000"/>
          <w:kern w:val="2"/>
          <w:sz w:val="30"/>
          <w:szCs w:val="30"/>
          <w:u w:color="000000"/>
          <w:lang w:eastAsia="zh-CN"/>
        </w:rPr>
        <w:t>题</w:t>
      </w:r>
      <w:r>
        <w:rPr>
          <w:rFonts w:ascii="仿宋" w:eastAsia="仿宋" w:hAnsi="仿宋" w:cs="Calibri" w:hint="eastAsia"/>
          <w:color w:val="000000"/>
          <w:kern w:val="2"/>
          <w:sz w:val="30"/>
          <w:szCs w:val="30"/>
          <w:u w:color="000000"/>
          <w:lang w:eastAsia="zh-CN"/>
        </w:rPr>
        <w:t>目及署名）</w:t>
      </w:r>
    </w:p>
    <w:p w14:paraId="5424319E" w14:textId="77777777" w:rsidR="00CD16C2" w:rsidRDefault="00000000">
      <w:pPr>
        <w:snapToGrid w:val="0"/>
        <w:spacing w:line="360" w:lineRule="auto"/>
        <w:ind w:firstLineChars="200" w:firstLine="600"/>
        <w:rPr>
          <w:rFonts w:ascii="仿宋" w:eastAsia="仿宋" w:hAnsi="仿宋" w:cs="Calibri"/>
          <w:color w:val="000000"/>
          <w:kern w:val="2"/>
          <w:sz w:val="30"/>
          <w:szCs w:val="30"/>
          <w:u w:color="000000"/>
          <w:lang w:eastAsia="zh-CN"/>
        </w:rPr>
      </w:pPr>
      <w:r>
        <w:rPr>
          <w:rFonts w:ascii="仿宋" w:eastAsia="仿宋" w:hAnsi="仿宋" w:cs="Calibri"/>
          <w:color w:val="000000"/>
          <w:kern w:val="2"/>
          <w:sz w:val="30"/>
          <w:szCs w:val="30"/>
          <w:u w:color="000000"/>
          <w:lang w:eastAsia="zh-CN"/>
        </w:rPr>
        <w:t>（2）目录</w:t>
      </w:r>
    </w:p>
    <w:p w14:paraId="0B905CEF" w14:textId="77777777" w:rsidR="00CD16C2" w:rsidRDefault="00000000">
      <w:pPr>
        <w:snapToGrid w:val="0"/>
        <w:spacing w:line="360" w:lineRule="auto"/>
        <w:ind w:firstLineChars="200" w:firstLine="600"/>
        <w:rPr>
          <w:rFonts w:ascii="仿宋" w:eastAsia="仿宋" w:hAnsi="仿宋" w:cs="Calibri"/>
          <w:color w:val="000000"/>
          <w:kern w:val="2"/>
          <w:sz w:val="30"/>
          <w:szCs w:val="30"/>
          <w:u w:color="000000"/>
          <w:lang w:eastAsia="zh-CN"/>
        </w:rPr>
      </w:pPr>
      <w:r>
        <w:rPr>
          <w:rFonts w:ascii="仿宋" w:eastAsia="仿宋" w:hAnsi="仿宋" w:cs="Calibri"/>
          <w:color w:val="000000"/>
          <w:kern w:val="2"/>
          <w:sz w:val="30"/>
          <w:szCs w:val="30"/>
          <w:u w:color="000000"/>
          <w:lang w:eastAsia="zh-CN"/>
        </w:rPr>
        <w:t>（3）正文</w:t>
      </w:r>
    </w:p>
    <w:p w14:paraId="3C49EAD5" w14:textId="77777777" w:rsidR="00CD16C2" w:rsidRDefault="00000000">
      <w:pPr>
        <w:snapToGrid w:val="0"/>
        <w:spacing w:line="360" w:lineRule="auto"/>
        <w:ind w:firstLineChars="200" w:firstLine="600"/>
        <w:rPr>
          <w:rFonts w:ascii="仿宋" w:eastAsia="仿宋" w:hAnsi="仿宋" w:cs="Calibri"/>
          <w:color w:val="000000"/>
          <w:kern w:val="2"/>
          <w:sz w:val="30"/>
          <w:szCs w:val="30"/>
          <w:u w:color="000000"/>
          <w:lang w:eastAsia="zh-CN"/>
        </w:rPr>
      </w:pPr>
      <w:r>
        <w:rPr>
          <w:rFonts w:ascii="仿宋" w:eastAsia="仿宋" w:hAnsi="仿宋" w:cs="Calibri" w:hint="eastAsia"/>
          <w:color w:val="000000"/>
          <w:kern w:val="2"/>
          <w:sz w:val="30"/>
          <w:szCs w:val="30"/>
          <w:u w:color="000000"/>
          <w:lang w:eastAsia="zh-CN"/>
        </w:rPr>
        <w:t>以上各项目的</w:t>
      </w:r>
      <w:r>
        <w:rPr>
          <w:rFonts w:ascii="仿宋" w:eastAsia="仿宋" w:hAnsi="仿宋" w:cs="Calibri"/>
          <w:color w:val="000000"/>
          <w:kern w:val="2"/>
          <w:sz w:val="30"/>
          <w:szCs w:val="30"/>
          <w:u w:color="000000"/>
          <w:lang w:eastAsia="zh-CN"/>
        </w:rPr>
        <w:t>基本内容与要求如下：</w:t>
      </w:r>
    </w:p>
    <w:p w14:paraId="7AC2B515" w14:textId="77777777" w:rsidR="00CD16C2" w:rsidRDefault="00000000">
      <w:pPr>
        <w:pStyle w:val="a9"/>
        <w:numPr>
          <w:ilvl w:val="0"/>
          <w:numId w:val="1"/>
        </w:numPr>
        <w:spacing w:line="360" w:lineRule="auto"/>
        <w:ind w:firstLineChars="0"/>
        <w:rPr>
          <w:rFonts w:ascii="仿宋" w:eastAsia="仿宋" w:hAnsi="仿宋" w:cs="Calibri"/>
          <w:color w:val="000000"/>
          <w:kern w:val="2"/>
          <w:sz w:val="30"/>
          <w:szCs w:val="30"/>
          <w:u w:color="000000"/>
          <w:lang w:eastAsia="zh-CN"/>
        </w:rPr>
      </w:pPr>
      <w:r>
        <w:rPr>
          <w:rFonts w:ascii="仿宋" w:eastAsia="仿宋" w:hAnsi="仿宋" w:cs="Calibri"/>
          <w:color w:val="000000"/>
          <w:kern w:val="2"/>
          <w:sz w:val="30"/>
          <w:szCs w:val="30"/>
          <w:u w:color="000000"/>
          <w:lang w:eastAsia="zh-CN"/>
        </w:rPr>
        <w:t>封面</w:t>
      </w:r>
    </w:p>
    <w:p w14:paraId="1AA9E051" w14:textId="77777777" w:rsidR="00CD16C2" w:rsidRDefault="00000000">
      <w:pPr>
        <w:spacing w:line="360" w:lineRule="auto"/>
        <w:ind w:firstLine="435"/>
        <w:rPr>
          <w:rFonts w:ascii="仿宋" w:eastAsia="仿宋" w:hAnsi="仿宋" w:cs="Calibri"/>
          <w:color w:val="000000"/>
          <w:kern w:val="2"/>
          <w:sz w:val="30"/>
          <w:szCs w:val="30"/>
          <w:u w:color="000000"/>
          <w:lang w:eastAsia="zh-CN"/>
        </w:rPr>
      </w:pPr>
      <w:r>
        <w:rPr>
          <w:rFonts w:ascii="仿宋" w:eastAsia="仿宋" w:hAnsi="仿宋" w:cs="Calibri" w:hint="eastAsia"/>
          <w:color w:val="000000"/>
          <w:kern w:val="2"/>
          <w:sz w:val="30"/>
          <w:szCs w:val="30"/>
          <w:u w:color="000000"/>
          <w:lang w:eastAsia="zh-CN"/>
        </w:rPr>
        <w:t>社会实践报告的</w:t>
      </w:r>
      <w:r>
        <w:rPr>
          <w:rFonts w:ascii="仿宋" w:eastAsia="仿宋" w:hAnsi="仿宋" w:cs="Calibri"/>
          <w:color w:val="000000"/>
          <w:kern w:val="2"/>
          <w:sz w:val="30"/>
          <w:szCs w:val="30"/>
          <w:u w:color="000000"/>
          <w:lang w:eastAsia="zh-CN"/>
        </w:rPr>
        <w:t>封面</w:t>
      </w:r>
      <w:r>
        <w:rPr>
          <w:rFonts w:ascii="仿宋" w:eastAsia="仿宋" w:hAnsi="仿宋" w:cs="Calibri" w:hint="eastAsia"/>
          <w:color w:val="000000"/>
          <w:kern w:val="2"/>
          <w:sz w:val="30"/>
          <w:szCs w:val="30"/>
          <w:u w:color="000000"/>
          <w:lang w:eastAsia="zh-CN"/>
        </w:rPr>
        <w:t>信息</w:t>
      </w:r>
      <w:r>
        <w:rPr>
          <w:rFonts w:ascii="仿宋" w:eastAsia="仿宋" w:hAnsi="仿宋" w:cs="Calibri"/>
          <w:color w:val="000000"/>
          <w:kern w:val="2"/>
          <w:sz w:val="30"/>
          <w:szCs w:val="30"/>
          <w:u w:color="000000"/>
          <w:lang w:eastAsia="zh-CN"/>
        </w:rPr>
        <w:t>包括</w:t>
      </w:r>
      <w:r>
        <w:rPr>
          <w:rFonts w:ascii="仿宋" w:eastAsia="仿宋" w:hAnsi="仿宋" w:cs="Calibri" w:hint="eastAsia"/>
          <w:color w:val="000000"/>
          <w:kern w:val="2"/>
          <w:sz w:val="30"/>
          <w:szCs w:val="30"/>
          <w:u w:color="000000"/>
          <w:lang w:eastAsia="zh-CN"/>
        </w:rPr>
        <w:t>：学院、专业、实践报告全</w:t>
      </w:r>
      <w:r>
        <w:rPr>
          <w:rFonts w:ascii="仿宋" w:eastAsia="仿宋" w:hAnsi="仿宋" w:cs="Calibri"/>
          <w:color w:val="000000"/>
          <w:kern w:val="2"/>
          <w:sz w:val="30"/>
          <w:szCs w:val="30"/>
          <w:u w:color="000000"/>
          <w:lang w:eastAsia="zh-CN"/>
        </w:rPr>
        <w:t>称、学生个人信息</w:t>
      </w:r>
      <w:r>
        <w:rPr>
          <w:rFonts w:ascii="仿宋" w:eastAsia="仿宋" w:hAnsi="仿宋" w:cs="Calibri" w:hint="eastAsia"/>
          <w:color w:val="000000"/>
          <w:kern w:val="2"/>
          <w:sz w:val="30"/>
          <w:szCs w:val="30"/>
          <w:u w:color="000000"/>
          <w:lang w:eastAsia="zh-CN"/>
        </w:rPr>
        <w:t>、</w:t>
      </w:r>
      <w:r>
        <w:rPr>
          <w:rFonts w:ascii="仿宋" w:eastAsia="仿宋" w:hAnsi="仿宋" w:cs="Calibri"/>
          <w:color w:val="000000"/>
          <w:kern w:val="2"/>
          <w:sz w:val="30"/>
          <w:szCs w:val="30"/>
          <w:u w:color="000000"/>
          <w:lang w:eastAsia="zh-CN"/>
        </w:rPr>
        <w:t>指导老师信息</w:t>
      </w:r>
      <w:r>
        <w:rPr>
          <w:rFonts w:ascii="仿宋" w:eastAsia="仿宋" w:hAnsi="仿宋" w:cs="Calibri" w:hint="eastAsia"/>
          <w:color w:val="000000"/>
          <w:kern w:val="2"/>
          <w:sz w:val="30"/>
          <w:szCs w:val="30"/>
          <w:u w:color="000000"/>
          <w:lang w:eastAsia="zh-CN"/>
        </w:rPr>
        <w:t>以及论文完成时间等</w:t>
      </w:r>
      <w:r>
        <w:rPr>
          <w:rFonts w:ascii="仿宋" w:eastAsia="仿宋" w:hAnsi="仿宋" w:cs="Calibri"/>
          <w:color w:val="000000"/>
          <w:kern w:val="2"/>
          <w:sz w:val="30"/>
          <w:szCs w:val="30"/>
          <w:u w:color="000000"/>
          <w:lang w:eastAsia="zh-CN"/>
        </w:rPr>
        <w:t>。</w:t>
      </w:r>
    </w:p>
    <w:p w14:paraId="020F364E" w14:textId="77777777" w:rsidR="00CD16C2" w:rsidRDefault="00000000">
      <w:pPr>
        <w:pStyle w:val="a9"/>
        <w:numPr>
          <w:ilvl w:val="0"/>
          <w:numId w:val="1"/>
        </w:numPr>
        <w:spacing w:line="360" w:lineRule="auto"/>
        <w:ind w:firstLineChars="0"/>
        <w:rPr>
          <w:rFonts w:ascii="仿宋" w:eastAsia="仿宋" w:hAnsi="仿宋" w:cs="Calibri"/>
          <w:color w:val="000000"/>
          <w:kern w:val="2"/>
          <w:sz w:val="30"/>
          <w:szCs w:val="30"/>
          <w:u w:color="000000"/>
          <w:lang w:eastAsia="zh-CN"/>
        </w:rPr>
      </w:pPr>
      <w:r>
        <w:rPr>
          <w:rFonts w:ascii="仿宋" w:eastAsia="仿宋" w:hAnsi="仿宋" w:cs="Calibri" w:hint="eastAsia"/>
          <w:color w:val="000000"/>
          <w:kern w:val="2"/>
          <w:sz w:val="30"/>
          <w:szCs w:val="30"/>
          <w:u w:color="000000"/>
          <w:lang w:eastAsia="zh-CN"/>
        </w:rPr>
        <w:t>目录</w:t>
      </w:r>
    </w:p>
    <w:p w14:paraId="1CA30EA0" w14:textId="77777777" w:rsidR="00CD16C2" w:rsidRDefault="00000000">
      <w:pPr>
        <w:spacing w:line="360" w:lineRule="auto"/>
        <w:ind w:firstLineChars="200" w:firstLine="600"/>
        <w:rPr>
          <w:rFonts w:ascii="仿宋" w:eastAsia="仿宋" w:hAnsi="仿宋" w:cs="Calibri"/>
          <w:color w:val="000000"/>
          <w:kern w:val="2"/>
          <w:sz w:val="30"/>
          <w:szCs w:val="30"/>
          <w:u w:color="000000"/>
          <w:lang w:eastAsia="zh-CN"/>
        </w:rPr>
      </w:pPr>
      <w:r>
        <w:rPr>
          <w:rFonts w:ascii="仿宋" w:eastAsia="仿宋" w:hAnsi="仿宋" w:cs="Calibri" w:hint="eastAsia"/>
          <w:color w:val="000000"/>
          <w:kern w:val="2"/>
          <w:sz w:val="30"/>
          <w:szCs w:val="30"/>
          <w:u w:color="000000"/>
          <w:lang w:eastAsia="zh-CN"/>
        </w:rPr>
        <w:t>社会实践报告的</w:t>
      </w:r>
      <w:r>
        <w:rPr>
          <w:rFonts w:ascii="仿宋" w:eastAsia="仿宋" w:hAnsi="仿宋" w:cs="Calibri"/>
          <w:color w:val="000000"/>
          <w:kern w:val="2"/>
          <w:sz w:val="30"/>
          <w:szCs w:val="30"/>
          <w:u w:color="000000"/>
          <w:lang w:eastAsia="zh-CN"/>
        </w:rPr>
        <w:t>目录内容应当层次清晰，与正文题序层次</w:t>
      </w:r>
      <w:r>
        <w:rPr>
          <w:rFonts w:ascii="仿宋" w:eastAsia="仿宋" w:hAnsi="仿宋" w:cs="Calibri" w:hint="eastAsia"/>
          <w:color w:val="000000"/>
          <w:kern w:val="2"/>
          <w:sz w:val="30"/>
          <w:szCs w:val="30"/>
          <w:u w:color="000000"/>
          <w:lang w:eastAsia="zh-CN"/>
        </w:rPr>
        <w:t>、</w:t>
      </w:r>
      <w:r>
        <w:rPr>
          <w:rFonts w:ascii="仿宋" w:eastAsia="仿宋" w:hAnsi="仿宋" w:cs="Calibri"/>
          <w:color w:val="000000"/>
          <w:kern w:val="2"/>
          <w:sz w:val="30"/>
          <w:szCs w:val="30"/>
          <w:u w:color="000000"/>
          <w:lang w:eastAsia="zh-CN"/>
        </w:rPr>
        <w:t>标题内容</w:t>
      </w:r>
      <w:r>
        <w:rPr>
          <w:rFonts w:ascii="仿宋" w:eastAsia="仿宋" w:hAnsi="仿宋" w:cs="Calibri" w:hint="eastAsia"/>
          <w:color w:val="000000"/>
          <w:kern w:val="2"/>
          <w:sz w:val="30"/>
          <w:szCs w:val="30"/>
          <w:u w:color="000000"/>
          <w:lang w:eastAsia="zh-CN"/>
        </w:rPr>
        <w:t>应</w:t>
      </w:r>
      <w:r>
        <w:rPr>
          <w:rFonts w:ascii="仿宋" w:eastAsia="仿宋" w:hAnsi="仿宋" w:cs="Calibri"/>
          <w:color w:val="000000"/>
          <w:kern w:val="2"/>
          <w:sz w:val="30"/>
          <w:szCs w:val="30"/>
          <w:u w:color="000000"/>
          <w:lang w:eastAsia="zh-CN"/>
        </w:rPr>
        <w:t>完全一致。</w:t>
      </w:r>
    </w:p>
    <w:p w14:paraId="3674E41F" w14:textId="77777777" w:rsidR="00CD16C2" w:rsidRDefault="00000000">
      <w:pPr>
        <w:pStyle w:val="a9"/>
        <w:numPr>
          <w:ilvl w:val="0"/>
          <w:numId w:val="1"/>
        </w:numPr>
        <w:spacing w:line="360" w:lineRule="auto"/>
        <w:ind w:firstLineChars="0"/>
        <w:rPr>
          <w:rFonts w:ascii="仿宋" w:eastAsia="仿宋" w:hAnsi="仿宋" w:cs="Calibri"/>
          <w:color w:val="000000"/>
          <w:kern w:val="2"/>
          <w:sz w:val="30"/>
          <w:szCs w:val="30"/>
          <w:u w:color="000000"/>
          <w:lang w:eastAsia="zh-CN"/>
        </w:rPr>
      </w:pPr>
      <w:r>
        <w:rPr>
          <w:rFonts w:ascii="仿宋" w:eastAsia="仿宋" w:hAnsi="仿宋" w:cs="Calibri" w:hint="eastAsia"/>
          <w:color w:val="000000"/>
          <w:kern w:val="2"/>
          <w:sz w:val="30"/>
          <w:szCs w:val="30"/>
          <w:u w:color="000000"/>
          <w:lang w:eastAsia="zh-CN"/>
        </w:rPr>
        <w:t>正文</w:t>
      </w:r>
    </w:p>
    <w:p w14:paraId="3D605B7E" w14:textId="77777777" w:rsidR="00CD16C2" w:rsidRDefault="00000000">
      <w:pPr>
        <w:spacing w:line="360" w:lineRule="auto"/>
        <w:ind w:firstLineChars="200" w:firstLine="600"/>
        <w:rPr>
          <w:rFonts w:ascii="仿宋" w:eastAsia="仿宋" w:hAnsi="仿宋" w:cs="Calibri"/>
          <w:color w:val="000000"/>
          <w:kern w:val="2"/>
          <w:sz w:val="30"/>
          <w:szCs w:val="30"/>
          <w:u w:color="000000"/>
          <w:lang w:eastAsia="zh-CN"/>
        </w:rPr>
      </w:pPr>
      <w:r>
        <w:rPr>
          <w:rFonts w:ascii="仿宋" w:eastAsia="仿宋" w:hAnsi="仿宋" w:cs="Calibri" w:hint="eastAsia"/>
          <w:color w:val="000000"/>
          <w:kern w:val="2"/>
          <w:sz w:val="30"/>
          <w:szCs w:val="30"/>
          <w:u w:color="000000"/>
          <w:lang w:eastAsia="zh-CN"/>
        </w:rPr>
        <w:t>社会实践报告的</w:t>
      </w:r>
      <w:r>
        <w:rPr>
          <w:rFonts w:ascii="仿宋" w:eastAsia="仿宋" w:hAnsi="仿宋" w:cs="Calibri"/>
          <w:color w:val="000000"/>
          <w:kern w:val="2"/>
          <w:sz w:val="30"/>
          <w:szCs w:val="30"/>
          <w:u w:color="000000"/>
          <w:lang w:eastAsia="zh-CN"/>
        </w:rPr>
        <w:t>正文部分包括</w:t>
      </w:r>
      <w:r>
        <w:rPr>
          <w:rFonts w:ascii="仿宋" w:eastAsia="仿宋" w:hAnsi="仿宋" w:cs="Calibri" w:hint="eastAsia"/>
          <w:color w:val="000000"/>
          <w:kern w:val="2"/>
          <w:sz w:val="30"/>
          <w:szCs w:val="30"/>
          <w:u w:color="000000"/>
          <w:lang w:eastAsia="zh-CN"/>
        </w:rPr>
        <w:t>前言</w:t>
      </w:r>
      <w:r>
        <w:rPr>
          <w:rFonts w:ascii="仿宋" w:eastAsia="仿宋" w:hAnsi="仿宋" w:cs="Calibri"/>
          <w:color w:val="000000"/>
          <w:kern w:val="2"/>
          <w:sz w:val="30"/>
          <w:szCs w:val="30"/>
          <w:u w:color="000000"/>
          <w:lang w:eastAsia="zh-CN"/>
        </w:rPr>
        <w:t>（或导论、绪论）、主体及</w:t>
      </w:r>
      <w:r>
        <w:rPr>
          <w:rFonts w:ascii="仿宋" w:eastAsia="仿宋" w:hAnsi="仿宋" w:cs="Calibri" w:hint="eastAsia"/>
          <w:color w:val="000000"/>
          <w:kern w:val="2"/>
          <w:sz w:val="30"/>
          <w:szCs w:val="30"/>
          <w:u w:color="000000"/>
          <w:lang w:eastAsia="zh-CN"/>
        </w:rPr>
        <w:t>结尾</w:t>
      </w:r>
      <w:r>
        <w:rPr>
          <w:rFonts w:ascii="仿宋" w:eastAsia="仿宋" w:hAnsi="仿宋" w:cs="Calibri"/>
          <w:color w:val="000000"/>
          <w:kern w:val="2"/>
          <w:sz w:val="30"/>
          <w:szCs w:val="30"/>
          <w:u w:color="000000"/>
          <w:lang w:eastAsia="zh-CN"/>
        </w:rPr>
        <w:t>（或结论）三个部分，总字数不少于</w:t>
      </w:r>
      <w:r>
        <w:rPr>
          <w:rFonts w:ascii="仿宋" w:eastAsia="仿宋" w:hAnsi="仿宋" w:cs="Calibri" w:hint="eastAsia"/>
          <w:b/>
          <w:color w:val="000000"/>
          <w:kern w:val="2"/>
          <w:sz w:val="30"/>
          <w:szCs w:val="30"/>
          <w:u w:color="000000"/>
          <w:lang w:eastAsia="zh-CN"/>
        </w:rPr>
        <w:t>3</w:t>
      </w:r>
      <w:r>
        <w:rPr>
          <w:rFonts w:ascii="仿宋" w:eastAsia="仿宋" w:hAnsi="仿宋" w:cs="Calibri"/>
          <w:b/>
          <w:color w:val="000000"/>
          <w:kern w:val="2"/>
          <w:sz w:val="30"/>
          <w:szCs w:val="30"/>
          <w:u w:color="000000"/>
          <w:lang w:eastAsia="zh-CN"/>
        </w:rPr>
        <w:t>000字。</w:t>
      </w:r>
    </w:p>
    <w:p w14:paraId="34A2CFA2" w14:textId="77777777" w:rsidR="00CD16C2" w:rsidRDefault="00000000">
      <w:pPr>
        <w:spacing w:line="360" w:lineRule="auto"/>
        <w:ind w:firstLineChars="200" w:firstLine="600"/>
        <w:rPr>
          <w:rFonts w:ascii="仿宋" w:eastAsia="仿宋" w:hAnsi="仿宋" w:cs="Calibri"/>
          <w:color w:val="000000"/>
          <w:kern w:val="2"/>
          <w:sz w:val="30"/>
          <w:szCs w:val="30"/>
          <w:u w:color="000000"/>
          <w:lang w:eastAsia="zh-CN"/>
        </w:rPr>
      </w:pPr>
      <w:r>
        <w:rPr>
          <w:rFonts w:ascii="仿宋" w:eastAsia="仿宋" w:hAnsi="仿宋" w:cs="Calibri" w:hint="eastAsia"/>
          <w:color w:val="000000"/>
          <w:kern w:val="2"/>
          <w:sz w:val="30"/>
          <w:szCs w:val="30"/>
          <w:u w:color="000000"/>
          <w:lang w:eastAsia="zh-CN"/>
        </w:rPr>
        <w:t>（1）前言部分简要说明社会实践的目的、时间、地点、调研方法以及基本内容等。</w:t>
      </w:r>
    </w:p>
    <w:p w14:paraId="6504520A" w14:textId="77777777" w:rsidR="00CD16C2" w:rsidRDefault="00000000">
      <w:pPr>
        <w:spacing w:line="360" w:lineRule="auto"/>
        <w:ind w:firstLineChars="200" w:firstLine="600"/>
        <w:rPr>
          <w:rFonts w:ascii="仿宋" w:eastAsia="仿宋" w:hAnsi="仿宋" w:cs="Calibri"/>
          <w:color w:val="000000"/>
          <w:kern w:val="2"/>
          <w:sz w:val="30"/>
          <w:szCs w:val="30"/>
          <w:u w:color="000000"/>
          <w:lang w:eastAsia="zh-CN"/>
        </w:rPr>
      </w:pPr>
      <w:r>
        <w:rPr>
          <w:rFonts w:ascii="仿宋" w:eastAsia="仿宋" w:hAnsi="仿宋" w:cs="Calibri" w:hint="eastAsia"/>
          <w:color w:val="000000"/>
          <w:kern w:val="2"/>
          <w:sz w:val="30"/>
          <w:szCs w:val="30"/>
          <w:u w:color="000000"/>
          <w:lang w:eastAsia="zh-CN"/>
        </w:rPr>
        <w:t>（2）正文部分是报告的主体，基本要求是：观点明确，论据充分，结构严谨，层次明晰，逻辑清楚，文字表达流畅。</w:t>
      </w:r>
    </w:p>
    <w:p w14:paraId="71CC41D1" w14:textId="77777777" w:rsidR="00CD16C2" w:rsidRDefault="00000000">
      <w:pPr>
        <w:pStyle w:val="A8"/>
        <w:spacing w:line="360" w:lineRule="auto"/>
        <w:ind w:firstLineChars="200" w:firstLine="600"/>
        <w:rPr>
          <w:rFonts w:ascii="仿宋" w:eastAsia="仿宋" w:hAnsi="仿宋"/>
          <w:sz w:val="30"/>
          <w:szCs w:val="30"/>
        </w:rPr>
      </w:pPr>
      <w:r>
        <w:rPr>
          <w:rFonts w:ascii="仿宋" w:eastAsia="仿宋" w:hAnsi="仿宋" w:hint="eastAsia"/>
          <w:sz w:val="30"/>
          <w:szCs w:val="30"/>
        </w:rPr>
        <w:t>（3）结尾部分是对整个社会实践的总结，包括调研结论、经验总结或政策建议。</w:t>
      </w:r>
    </w:p>
    <w:sectPr w:rsidR="00CD1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微软雅黑"/>
    <w:charset w:val="86"/>
    <w:family w:val="auto"/>
    <w:pitch w:val="default"/>
    <w:sig w:usb0="00000287" w:usb1="080E0000" w:usb2="0000001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C59CC"/>
    <w:multiLevelType w:val="multilevel"/>
    <w:tmpl w:val="74EC59CC"/>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16cid:durableId="51257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ZjNzcyZmQzZWNmNmQ0ZTc5M2Q2ZDUwZjk4ZmQwNTIifQ=="/>
  </w:docVars>
  <w:rsids>
    <w:rsidRoot w:val="00413104"/>
    <w:rsid w:val="001915A0"/>
    <w:rsid w:val="002020E4"/>
    <w:rsid w:val="0022492E"/>
    <w:rsid w:val="00331075"/>
    <w:rsid w:val="003A5856"/>
    <w:rsid w:val="003B2E8D"/>
    <w:rsid w:val="003C3707"/>
    <w:rsid w:val="00413104"/>
    <w:rsid w:val="005A75E9"/>
    <w:rsid w:val="006E1FBE"/>
    <w:rsid w:val="00841A85"/>
    <w:rsid w:val="008534D2"/>
    <w:rsid w:val="008D5CFB"/>
    <w:rsid w:val="009104C2"/>
    <w:rsid w:val="00981422"/>
    <w:rsid w:val="009A226E"/>
    <w:rsid w:val="00A142EF"/>
    <w:rsid w:val="00CD16C2"/>
    <w:rsid w:val="00DC483A"/>
    <w:rsid w:val="00F55A36"/>
    <w:rsid w:val="0DC73EF1"/>
    <w:rsid w:val="0F827BE2"/>
    <w:rsid w:val="13FF5CA5"/>
    <w:rsid w:val="199C6504"/>
    <w:rsid w:val="20E26929"/>
    <w:rsid w:val="22AE209F"/>
    <w:rsid w:val="2BDB0090"/>
    <w:rsid w:val="2D65264F"/>
    <w:rsid w:val="2FFD15D8"/>
    <w:rsid w:val="41DF5748"/>
    <w:rsid w:val="5C480E38"/>
    <w:rsid w:val="5F6443DB"/>
    <w:rsid w:val="66A6332B"/>
    <w:rsid w:val="6AF428B7"/>
    <w:rsid w:val="7ADC4CB2"/>
    <w:rsid w:val="7B35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41AC"/>
  <w15:docId w15:val="{D905721B-5127-45FF-89EC-B207BCF3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8">
    <w:name w:val="正文 A"/>
    <w:qFormat/>
    <w:pPr>
      <w:widowControl w:val="0"/>
      <w:jc w:val="both"/>
    </w:pPr>
    <w:rPr>
      <w:rFonts w:ascii="Calibri" w:eastAsia="Calibri" w:hAnsi="Calibri" w:cs="Calibri"/>
      <w:color w:val="000000"/>
      <w:kern w:val="2"/>
      <w:sz w:val="21"/>
      <w:szCs w:val="21"/>
      <w:u w:color="000000"/>
    </w:rPr>
  </w:style>
  <w:style w:type="paragraph" w:styleId="a9">
    <w:name w:val="List Paragraph"/>
    <w:basedOn w:val="a"/>
    <w:uiPriority w:val="34"/>
    <w:qFormat/>
    <w:pPr>
      <w:ind w:firstLineChars="200" w:firstLine="420"/>
    </w:pPr>
  </w:style>
  <w:style w:type="character" w:customStyle="1" w:styleId="fontstyle01">
    <w:name w:val="fontstyle01"/>
    <w:basedOn w:val="a0"/>
    <w:qFormat/>
    <w:rPr>
      <w:rFonts w:ascii="仿宋_GB2312" w:eastAsia="仿宋_GB2312" w:hint="eastAsia"/>
      <w:color w:val="000000"/>
      <w:sz w:val="32"/>
      <w:szCs w:val="32"/>
    </w:rPr>
  </w:style>
  <w:style w:type="character" w:customStyle="1" w:styleId="a7">
    <w:name w:val="页眉 字符"/>
    <w:basedOn w:val="a0"/>
    <w:link w:val="a6"/>
    <w:uiPriority w:val="99"/>
    <w:qFormat/>
    <w:rPr>
      <w:rFonts w:ascii="Times New Roman" w:hAnsi="Times New Roman" w:cs="Times New Roman"/>
      <w:kern w:val="0"/>
      <w:sz w:val="18"/>
      <w:szCs w:val="18"/>
      <w:lang w:eastAsia="en-US"/>
    </w:rPr>
  </w:style>
  <w:style w:type="character" w:customStyle="1" w:styleId="a5">
    <w:name w:val="页脚 字符"/>
    <w:basedOn w:val="a0"/>
    <w:link w:val="a4"/>
    <w:uiPriority w:val="99"/>
    <w:qFormat/>
    <w:rPr>
      <w:rFonts w:ascii="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一泓</cp:lastModifiedBy>
  <cp:revision>13</cp:revision>
  <dcterms:created xsi:type="dcterms:W3CDTF">2020-06-24T11:13:00Z</dcterms:created>
  <dcterms:modified xsi:type="dcterms:W3CDTF">2023-06-07T01:27:00Z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43C107CBF8B743D8842CB3088FCE1690</vt:lpwstr>
  </property>
</Properties>
</file>