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theme="minorBidi"/>
          <w:b/>
          <w:bCs/>
          <w:sz w:val="28"/>
          <w:szCs w:val="28"/>
        </w:rPr>
      </w:pPr>
      <w:bookmarkStart w:id="0" w:name="_Hlk113614880"/>
      <w:r>
        <w:rPr>
          <w:rFonts w:hint="eastAsia" w:ascii="宋体" w:hAnsi="宋体" w:cstheme="minorBidi"/>
          <w:b/>
          <w:bCs/>
          <w:sz w:val="28"/>
          <w:szCs w:val="28"/>
        </w:rPr>
        <w:t>附件</w:t>
      </w:r>
      <w:r>
        <w:rPr>
          <w:rFonts w:ascii="宋体" w:hAnsi="宋体" w:cstheme="minorBidi"/>
          <w:b/>
          <w:bCs/>
          <w:sz w:val="28"/>
          <w:szCs w:val="28"/>
        </w:rPr>
        <w:t>2</w:t>
      </w:r>
    </w:p>
    <w:p>
      <w:pPr>
        <w:jc w:val="center"/>
        <w:rPr>
          <w:rFonts w:ascii="宋体" w:hAnsi="宋体" w:cstheme="minorBidi"/>
          <w:b/>
          <w:bCs/>
          <w:sz w:val="28"/>
          <w:szCs w:val="28"/>
        </w:rPr>
      </w:pPr>
      <w:r>
        <w:rPr>
          <w:rFonts w:hint="eastAsia" w:ascii="宋体" w:hAnsi="宋体" w:cstheme="minorBidi"/>
          <w:b/>
          <w:bCs/>
          <w:sz w:val="28"/>
          <w:szCs w:val="28"/>
        </w:rPr>
        <w:t>计算机学院202</w:t>
      </w:r>
      <w:r>
        <w:rPr>
          <w:rFonts w:ascii="宋体" w:hAnsi="宋体" w:cstheme="minorBidi"/>
          <w:b/>
          <w:bCs/>
          <w:sz w:val="28"/>
          <w:szCs w:val="28"/>
        </w:rPr>
        <w:t>3</w:t>
      </w:r>
      <w:r>
        <w:rPr>
          <w:rFonts w:hint="eastAsia" w:ascii="宋体" w:hAnsi="宋体" w:cstheme="minorBidi"/>
          <w:b/>
          <w:bCs/>
          <w:sz w:val="28"/>
          <w:szCs w:val="28"/>
        </w:rPr>
        <w:t>届优秀应届本科毕业生免试攻读</w:t>
      </w:r>
    </w:p>
    <w:bookmarkEnd w:id="0"/>
    <w:p>
      <w:pPr>
        <w:jc w:val="center"/>
        <w:rPr>
          <w:rFonts w:ascii="宋体" w:hAnsi="宋体" w:cstheme="minorBidi"/>
          <w:b/>
          <w:bCs/>
          <w:sz w:val="28"/>
          <w:szCs w:val="28"/>
        </w:rPr>
      </w:pPr>
      <w:bookmarkStart w:id="1" w:name="_Hlk113614893"/>
      <w:r>
        <w:rPr>
          <w:rFonts w:hint="eastAsia" w:ascii="宋体" w:hAnsi="宋体" w:cstheme="minorBidi"/>
          <w:b/>
          <w:bCs/>
          <w:sz w:val="28"/>
          <w:szCs w:val="28"/>
        </w:rPr>
        <w:t>硕士研究生（普通推免生类）推荐方案（含分配名额）</w:t>
      </w:r>
    </w:p>
    <w:bookmarkEnd w:id="1"/>
    <w:p>
      <w:pPr>
        <w:widowControl/>
        <w:spacing w:line="360" w:lineRule="auto"/>
        <w:ind w:firstLine="480" w:firstLineChars="200"/>
        <w:jc w:val="left"/>
        <w:rPr>
          <w:rFonts w:cs="仿宋_GB2312" w:asciiTheme="minorEastAsia" w:hAnsiTheme="minorEastAsia" w:eastAsiaTheme="minorEastAsia"/>
          <w:color w:val="2A2A2A"/>
          <w:kern w:val="0"/>
          <w:sz w:val="24"/>
          <w:szCs w:val="24"/>
        </w:rPr>
      </w:pPr>
      <w:r>
        <w:rPr>
          <w:rFonts w:hint="eastAsia" w:cs="仿宋_GB2312" w:asciiTheme="minorEastAsia" w:hAnsiTheme="minorEastAsia" w:eastAsiaTheme="minorEastAsia"/>
          <w:color w:val="2A2A2A"/>
          <w:kern w:val="0"/>
          <w:sz w:val="24"/>
          <w:szCs w:val="24"/>
        </w:rPr>
        <w:t>1、严格执行“《浙江工业大学关于推荐优秀应届本科毕业生免试攻读研究生工作实施办法》浙工大发[2021]30号”文件要求，做好资格审查和组织推荐工作。</w:t>
      </w:r>
    </w:p>
    <w:p>
      <w:pPr>
        <w:widowControl/>
        <w:spacing w:line="360" w:lineRule="auto"/>
        <w:ind w:firstLine="480"/>
        <w:jc w:val="left"/>
        <w:rPr>
          <w:rFonts w:cs="仿宋_GB2312" w:asciiTheme="minorEastAsia" w:hAnsiTheme="minorEastAsia" w:eastAsiaTheme="minorEastAsia"/>
          <w:color w:val="2A2A2A"/>
          <w:kern w:val="0"/>
          <w:sz w:val="24"/>
          <w:szCs w:val="24"/>
        </w:rPr>
      </w:pPr>
      <w:r>
        <w:rPr>
          <w:rFonts w:hint="eastAsia" w:cs="仿宋_GB2312" w:asciiTheme="minorEastAsia" w:hAnsiTheme="minorEastAsia" w:eastAsiaTheme="minorEastAsia"/>
          <w:color w:val="2A2A2A"/>
          <w:kern w:val="0"/>
          <w:sz w:val="24"/>
          <w:szCs w:val="24"/>
        </w:rPr>
        <w:t>2、各专业推免生计划分配原则：按照推荐总额的20</w:t>
      </w:r>
      <w:r>
        <w:rPr>
          <w:rFonts w:cs="仿宋_GB2312" w:asciiTheme="minorEastAsia" w:hAnsiTheme="minorEastAsia" w:eastAsiaTheme="minorEastAsia"/>
          <w:color w:val="2A2A2A"/>
          <w:kern w:val="0"/>
          <w:sz w:val="24"/>
          <w:szCs w:val="24"/>
        </w:rPr>
        <w:t xml:space="preserve">% </w:t>
      </w:r>
      <w:r>
        <w:rPr>
          <w:rFonts w:hint="eastAsia" w:cs="仿宋_GB2312" w:asciiTheme="minorEastAsia" w:hAnsiTheme="minorEastAsia" w:eastAsiaTheme="minorEastAsia"/>
          <w:color w:val="2A2A2A"/>
          <w:kern w:val="0"/>
          <w:sz w:val="24"/>
          <w:szCs w:val="24"/>
        </w:rPr>
        <w:t>确定机动名额，再进行二次分配。各专业名额分配如下表所示。</w:t>
      </w:r>
    </w:p>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推荐名额分配表</w:t>
      </w:r>
    </w:p>
    <w:tbl>
      <w:tblPr>
        <w:tblStyle w:val="6"/>
        <w:tblW w:w="8336" w:type="dxa"/>
        <w:tblInd w:w="0" w:type="dxa"/>
        <w:tblLayout w:type="fixed"/>
        <w:tblCellMar>
          <w:top w:w="15" w:type="dxa"/>
          <w:left w:w="15" w:type="dxa"/>
          <w:bottom w:w="15" w:type="dxa"/>
          <w:right w:w="15" w:type="dxa"/>
        </w:tblCellMar>
      </w:tblPr>
      <w:tblGrid>
        <w:gridCol w:w="2515"/>
        <w:gridCol w:w="1653"/>
        <w:gridCol w:w="2084"/>
        <w:gridCol w:w="2084"/>
      </w:tblGrid>
      <w:tr>
        <w:tblPrEx>
          <w:tblCellMar>
            <w:top w:w="15" w:type="dxa"/>
            <w:left w:w="15" w:type="dxa"/>
            <w:bottom w:w="15" w:type="dxa"/>
            <w:right w:w="15" w:type="dxa"/>
          </w:tblCellMar>
        </w:tblPrEx>
        <w:trPr>
          <w:trHeight w:val="285" w:hRule="atLeast"/>
        </w:trPr>
        <w:tc>
          <w:tcPr>
            <w:tcW w:w="251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专业</w:t>
            </w:r>
          </w:p>
        </w:tc>
        <w:tc>
          <w:tcPr>
            <w:tcW w:w="1653" w:type="dxa"/>
            <w:vMerge w:val="restart"/>
            <w:tcBorders>
              <w:top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学生总人数</w:t>
            </w:r>
          </w:p>
        </w:tc>
        <w:tc>
          <w:tcPr>
            <w:tcW w:w="2084" w:type="dxa"/>
            <w:tcBorders>
              <w:top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推免生</w:t>
            </w:r>
          </w:p>
        </w:tc>
        <w:tc>
          <w:tcPr>
            <w:tcW w:w="2084" w:type="dxa"/>
            <w:tcBorders>
              <w:top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推免生</w:t>
            </w:r>
          </w:p>
        </w:tc>
      </w:tr>
      <w:tr>
        <w:tblPrEx>
          <w:tblCellMar>
            <w:top w:w="15" w:type="dxa"/>
            <w:left w:w="15" w:type="dxa"/>
            <w:bottom w:w="15" w:type="dxa"/>
            <w:right w:w="15" w:type="dxa"/>
          </w:tblCellMar>
        </w:tblPrEx>
        <w:trPr>
          <w:trHeight w:val="285" w:hRule="atLeast"/>
        </w:trPr>
        <w:tc>
          <w:tcPr>
            <w:tcW w:w="2515"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p>
        </w:tc>
        <w:tc>
          <w:tcPr>
            <w:tcW w:w="1653" w:type="dxa"/>
            <w:vMerge w:val="continue"/>
            <w:tcBorders>
              <w:top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p>
        </w:tc>
        <w:tc>
          <w:tcPr>
            <w:tcW w:w="2084" w:type="dxa"/>
            <w:tcBorders>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计划</w:t>
            </w:r>
          </w:p>
        </w:tc>
        <w:tc>
          <w:tcPr>
            <w:tcW w:w="2084" w:type="dxa"/>
            <w:tcBorders>
              <w:bottom w:val="single" w:color="auto"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sz w:val="24"/>
                <w:szCs w:val="24"/>
                <w:shd w:val="clear" w:color="auto" w:fill="FFFFFF"/>
              </w:rPr>
            </w:pPr>
            <w:r>
              <w:rPr>
                <w:rFonts w:hint="eastAsia" w:cs="仿宋_GB2312" w:asciiTheme="minorEastAsia" w:hAnsiTheme="minorEastAsia" w:eastAsiaTheme="minorEastAsia"/>
                <w:b/>
                <w:sz w:val="24"/>
                <w:szCs w:val="24"/>
                <w:shd w:val="clear" w:color="auto" w:fill="FFFFFF"/>
              </w:rPr>
              <w:t>预备计划</w:t>
            </w:r>
          </w:p>
        </w:tc>
      </w:tr>
      <w:tr>
        <w:tblPrEx>
          <w:tblCellMar>
            <w:top w:w="15" w:type="dxa"/>
            <w:left w:w="15" w:type="dxa"/>
            <w:bottom w:w="15" w:type="dxa"/>
            <w:right w:w="15" w:type="dxa"/>
          </w:tblCellMar>
        </w:tblPrEx>
        <w:trPr>
          <w:trHeight w:val="372"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计算机科学与技术</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95</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6</w:t>
            </w:r>
          </w:p>
        </w:tc>
        <w:tc>
          <w:tcPr>
            <w:tcW w:w="2084" w:type="dxa"/>
            <w:tcBorders>
              <w:top w:val="single" w:color="auto" w:sz="4" w:space="0"/>
              <w:left w:val="single" w:color="auto" w:sz="4" w:space="0"/>
              <w:bottom w:val="single" w:color="auto" w:sz="4" w:space="0"/>
              <w:right w:val="single" w:color="auto" w:sz="4" w:space="0"/>
            </w:tcBorders>
            <w:vAlign w:val="center"/>
          </w:tcPr>
          <w:p>
            <w:pPr>
              <w:widowControl/>
              <w:jc w:val="center"/>
              <w:rPr>
                <w:rFonts w:cs="仿宋_GB2312" w:asciiTheme="minorEastAsia" w:hAnsiTheme="minorEastAsia" w:eastAsiaTheme="minorEastAsia"/>
                <w:color w:val="000000"/>
                <w:kern w:val="0"/>
                <w:sz w:val="24"/>
                <w:szCs w:val="24"/>
              </w:rPr>
            </w:pPr>
            <w:r>
              <w:rPr>
                <w:rFonts w:hint="eastAsia" w:cs="仿宋_GB2312" w:asciiTheme="minorEastAsia" w:hAnsiTheme="minorEastAsia" w:eastAsiaTheme="minorEastAsia"/>
                <w:color w:val="000000"/>
                <w:kern w:val="0"/>
                <w:sz w:val="24"/>
                <w:szCs w:val="24"/>
              </w:rPr>
              <w:t>4</w:t>
            </w:r>
          </w:p>
        </w:tc>
      </w:tr>
      <w:tr>
        <w:tblPrEx>
          <w:tblCellMar>
            <w:top w:w="15" w:type="dxa"/>
            <w:left w:w="15" w:type="dxa"/>
            <w:bottom w:w="15" w:type="dxa"/>
            <w:right w:w="15" w:type="dxa"/>
          </w:tblCellMar>
        </w:tblPrEx>
        <w:trPr>
          <w:trHeight w:val="280"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软件工程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149</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10</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5</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实验班</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31</w:t>
            </w:r>
            <w:r>
              <w:rPr>
                <w:rFonts w:cs="仿宋_GB2312" w:asciiTheme="minorEastAsia" w:hAnsiTheme="minorEastAsia" w:eastAsiaTheme="minorEastAsia"/>
                <w:sz w:val="24"/>
                <w:szCs w:val="24"/>
                <w:shd w:val="clear" w:color="auto" w:fill="FFFFFF"/>
              </w:rPr>
              <w:t>*</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4</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3</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kern w:val="0"/>
                <w:sz w:val="24"/>
                <w:szCs w:val="24"/>
                <w:lang w:bidi="ar"/>
              </w:rPr>
            </w:pPr>
            <w:r>
              <w:rPr>
                <w:rFonts w:hint="eastAsia" w:cs="仿宋_GB2312" w:asciiTheme="minorEastAsia" w:hAnsiTheme="minorEastAsia" w:eastAsiaTheme="minorEastAsia"/>
                <w:color w:val="000000"/>
                <w:kern w:val="0"/>
                <w:sz w:val="24"/>
                <w:szCs w:val="24"/>
                <w:lang w:bidi="ar"/>
              </w:rPr>
              <w:t>计算机科学与技术+智能计算科学与技术</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23</w:t>
            </w:r>
            <w:r>
              <w:rPr>
                <w:rFonts w:cs="仿宋_GB2312" w:asciiTheme="minorEastAsia" w:hAnsiTheme="minorEastAsia" w:eastAsiaTheme="minorEastAsia"/>
                <w:sz w:val="24"/>
                <w:szCs w:val="24"/>
                <w:shd w:val="clear" w:color="auto" w:fill="FFFFFF"/>
              </w:rPr>
              <w:t>*</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3</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数据科学与大数据技术</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32</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2</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数字媒体技术</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54</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4</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w:t>
            </w:r>
          </w:p>
        </w:tc>
      </w:tr>
      <w:tr>
        <w:tblPrEx>
          <w:tblCellMar>
            <w:top w:w="15" w:type="dxa"/>
            <w:left w:w="15" w:type="dxa"/>
            <w:bottom w:w="15" w:type="dxa"/>
            <w:right w:w="15" w:type="dxa"/>
          </w:tblCellMar>
        </w:tblPrEx>
        <w:trPr>
          <w:trHeight w:val="260"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网络工程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40</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3</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1</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color w:val="000000"/>
                <w:kern w:val="0"/>
                <w:sz w:val="24"/>
                <w:szCs w:val="24"/>
                <w:lang w:bidi="ar"/>
              </w:rPr>
              <w:t>物联网工程</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36</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2</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2</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eastAsiaTheme="minorEastAsia"/>
                <w:color w:val="000000"/>
                <w:kern w:val="0"/>
                <w:sz w:val="24"/>
                <w:szCs w:val="24"/>
                <w:lang w:bidi="ar"/>
              </w:rPr>
            </w:pPr>
            <w:r>
              <w:rPr>
                <w:rFonts w:hint="eastAsia" w:cs="仿宋_GB2312" w:asciiTheme="minorEastAsia" w:hAnsiTheme="minorEastAsia" w:eastAsiaTheme="minorEastAsia"/>
                <w:color w:val="000000"/>
                <w:kern w:val="0"/>
                <w:sz w:val="24"/>
                <w:szCs w:val="24"/>
                <w:lang w:bidi="ar"/>
              </w:rPr>
              <w:t>软件工程（中外合作）</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99</w:t>
            </w:r>
          </w:p>
        </w:tc>
        <w:tc>
          <w:tcPr>
            <w:tcW w:w="2084" w:type="dxa"/>
            <w:tcBorders>
              <w:top w:val="single" w:color="000000" w:sz="4" w:space="0"/>
              <w:left w:val="single" w:color="000000" w:sz="4" w:space="0"/>
              <w:bottom w:val="single" w:color="000000" w:sz="4" w:space="0"/>
              <w:right w:val="single" w:color="auto"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b/>
                <w:bCs/>
                <w:sz w:val="24"/>
                <w:szCs w:val="24"/>
                <w:shd w:val="clear" w:color="auto" w:fill="FFFFFF"/>
              </w:rPr>
            </w:pPr>
            <w:r>
              <w:rPr>
                <w:rFonts w:hint="eastAsia" w:cs="仿宋_GB2312" w:asciiTheme="minorEastAsia" w:hAnsiTheme="minorEastAsia" w:eastAsiaTheme="minorEastAsia"/>
                <w:b/>
                <w:bCs/>
                <w:sz w:val="24"/>
                <w:szCs w:val="24"/>
                <w:shd w:val="clear" w:color="auto" w:fill="FFFFFF"/>
              </w:rPr>
              <w:t>6</w:t>
            </w:r>
          </w:p>
        </w:tc>
        <w:tc>
          <w:tcPr>
            <w:tcW w:w="2084"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eastAsiaTheme="minorEastAsia"/>
                <w:color w:val="000000"/>
                <w:sz w:val="24"/>
                <w:szCs w:val="24"/>
              </w:rPr>
            </w:pPr>
            <w:r>
              <w:rPr>
                <w:rFonts w:hint="eastAsia" w:cs="仿宋_GB2312" w:asciiTheme="minorEastAsia" w:hAnsiTheme="minorEastAsia" w:eastAsiaTheme="minorEastAsia"/>
                <w:color w:val="000000"/>
                <w:sz w:val="24"/>
                <w:szCs w:val="24"/>
              </w:rPr>
              <w:t>4</w:t>
            </w:r>
          </w:p>
        </w:tc>
      </w:tr>
      <w:tr>
        <w:tblPrEx>
          <w:tblCellMar>
            <w:top w:w="15" w:type="dxa"/>
            <w:left w:w="15" w:type="dxa"/>
            <w:bottom w:w="15" w:type="dxa"/>
            <w:right w:w="15" w:type="dxa"/>
          </w:tblCellMar>
        </w:tblPrEx>
        <w:trPr>
          <w:trHeight w:val="285" w:hRule="atLeast"/>
        </w:trPr>
        <w:tc>
          <w:tcPr>
            <w:tcW w:w="2515" w:type="dxa"/>
            <w:tcBorders>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机动</w:t>
            </w:r>
          </w:p>
        </w:tc>
        <w:tc>
          <w:tcPr>
            <w:tcW w:w="5821"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360" w:lineRule="auto"/>
              <w:jc w:val="center"/>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 xml:space="preserve"> 10（包含第2类“有特殊学术专长者”且不多于1名。）</w:t>
            </w:r>
          </w:p>
        </w:tc>
      </w:tr>
    </w:tbl>
    <w:p>
      <w:pPr>
        <w:widowControl/>
        <w:shd w:val="clear" w:color="auto" w:fill="FFFFFF"/>
        <w:spacing w:line="360" w:lineRule="auto"/>
        <w:jc w:val="left"/>
        <w:textAlignment w:val="center"/>
        <w:rPr>
          <w:rFonts w:cs="仿宋_GB2312" w:asciiTheme="minorEastAsia" w:hAnsiTheme="minorEastAsia" w:eastAsiaTheme="minorEastAsia"/>
          <w:sz w:val="24"/>
          <w:szCs w:val="24"/>
          <w:shd w:val="clear" w:color="auto" w:fill="FFFFFF"/>
        </w:rPr>
      </w:pPr>
      <w:r>
        <w:rPr>
          <w:rFonts w:hint="eastAsia" w:cs="仿宋_GB2312" w:asciiTheme="minorEastAsia" w:hAnsiTheme="minorEastAsia" w:eastAsiaTheme="minorEastAsia"/>
          <w:sz w:val="24"/>
          <w:szCs w:val="24"/>
          <w:shd w:val="clear" w:color="auto" w:fill="FFFFFF"/>
        </w:rPr>
        <w:t>说明：实验班、计智班人数按照实际人数*2倍计算分配名额。</w:t>
      </w:r>
    </w:p>
    <w:p>
      <w:pPr>
        <w:widowControl/>
        <w:spacing w:line="360" w:lineRule="auto"/>
        <w:ind w:firstLine="482" w:firstLineChars="200"/>
        <w:jc w:val="left"/>
        <w:rPr>
          <w:rFonts w:cs="仿宋_GB2312" w:asciiTheme="minorEastAsia" w:hAnsiTheme="minorEastAsia" w:eastAsiaTheme="minorEastAsia"/>
          <w:b/>
          <w:bCs/>
          <w:color w:val="2A2A2A"/>
          <w:kern w:val="0"/>
          <w:sz w:val="24"/>
          <w:szCs w:val="24"/>
        </w:rPr>
      </w:pPr>
      <w:r>
        <w:rPr>
          <w:rFonts w:cs="仿宋_GB2312" w:asciiTheme="minorEastAsia" w:hAnsiTheme="minorEastAsia" w:eastAsiaTheme="minorEastAsia"/>
          <w:b/>
          <w:bCs/>
          <w:color w:val="2A2A2A"/>
          <w:kern w:val="0"/>
          <w:sz w:val="24"/>
          <w:szCs w:val="24"/>
        </w:rPr>
        <w:t>3</w:t>
      </w:r>
      <w:r>
        <w:rPr>
          <w:rFonts w:hint="eastAsia" w:cs="仿宋_GB2312" w:asciiTheme="minorEastAsia" w:hAnsiTheme="minorEastAsia" w:eastAsiaTheme="minorEastAsia"/>
          <w:b/>
          <w:bCs/>
          <w:color w:val="2A2A2A"/>
          <w:kern w:val="0"/>
          <w:sz w:val="24"/>
          <w:szCs w:val="24"/>
        </w:rPr>
        <w:t>、推荐方案：</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hint="eastAsia" w:cs="仿宋_GB2312" w:asciiTheme="minorEastAsia" w:hAnsiTheme="minorEastAsia" w:eastAsiaTheme="minorEastAsia"/>
          <w:color w:val="2A2A2A"/>
          <w:kern w:val="0"/>
          <w:lang w:val="en-US" w:bidi="ar-SA"/>
        </w:rPr>
        <w:t>各专业推免名额的前 50%，大学本科期间均在计算机学院就读</w:t>
      </w:r>
      <w:r>
        <w:rPr>
          <w:rFonts w:hint="eastAsia" w:asciiTheme="minorEastAsia" w:hAnsiTheme="minorEastAsia" w:eastAsiaTheme="minorEastAsia"/>
        </w:rPr>
        <w:t>（</w:t>
      </w:r>
      <w:r>
        <w:rPr>
          <w:rFonts w:hint="eastAsia" w:asciiTheme="minorEastAsia" w:hAnsiTheme="minorEastAsia" w:eastAsiaTheme="minorEastAsia"/>
          <w:lang w:val="en-US"/>
        </w:rPr>
        <w:t>即2019-2022学年上学期专业分流后属于计算机学院</w:t>
      </w:r>
      <w:r>
        <w:rPr>
          <w:rFonts w:hint="eastAsia" w:asciiTheme="minorEastAsia" w:hAnsiTheme="minorEastAsia" w:eastAsiaTheme="minorEastAsia"/>
        </w:rPr>
        <w:t>）</w:t>
      </w:r>
      <w:r>
        <w:rPr>
          <w:rFonts w:hint="eastAsia" w:cs="仿宋_GB2312" w:asciiTheme="minorEastAsia" w:hAnsiTheme="minorEastAsia" w:eastAsiaTheme="minorEastAsia"/>
          <w:color w:val="2A2A2A"/>
          <w:kern w:val="0"/>
          <w:lang w:val="en-US" w:bidi="ar-SA"/>
        </w:rPr>
        <w:t>的学生，按照综合</w:t>
      </w:r>
      <w:bookmarkStart w:id="2" w:name="_GoBack"/>
      <w:bookmarkEnd w:id="2"/>
      <w:r>
        <w:rPr>
          <w:rFonts w:hint="eastAsia" w:cs="仿宋_GB2312" w:asciiTheme="minorEastAsia" w:hAnsiTheme="minorEastAsia" w:eastAsiaTheme="minorEastAsia"/>
          <w:color w:val="2A2A2A"/>
          <w:kern w:val="0"/>
          <w:lang w:val="en-US" w:bidi="ar-SA"/>
        </w:rPr>
        <w:t>分从高到低排序 （其中平均学分绩点要求位列专业前 10%），直接获得推免资格（免</w:t>
      </w:r>
      <w:r>
        <w:rPr>
          <w:rFonts w:hint="eastAsia" w:cs="仿宋_GB2312" w:asciiTheme="minorEastAsia" w:hAnsiTheme="minorEastAsia" w:eastAsiaTheme="minorEastAsia"/>
          <w:color w:val="2A2A2A"/>
          <w:kern w:val="0"/>
          <w:lang w:val="en-US" w:eastAsia="zh-CN" w:bidi="ar-SA"/>
        </w:rPr>
        <w:t>面</w:t>
      </w:r>
      <w:r>
        <w:rPr>
          <w:rFonts w:hint="eastAsia" w:cs="仿宋_GB2312" w:asciiTheme="minorEastAsia" w:hAnsiTheme="minorEastAsia" w:eastAsiaTheme="minorEastAsia"/>
          <w:color w:val="2A2A2A"/>
          <w:kern w:val="0"/>
          <w:lang w:val="en-US" w:bidi="ar-SA"/>
        </w:rPr>
        <w:t>试），剩余符合推免资格的学生可申请参加学院面试，学院参考申请学生的综合分和平均学分绩点综合排名情况组织面试选拔。</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cs="仿宋_GB2312" w:asciiTheme="minorEastAsia" w:hAnsiTheme="minorEastAsia" w:eastAsiaTheme="minorEastAsia"/>
          <w:color w:val="2A2A2A"/>
          <w:kern w:val="0"/>
          <w:lang w:val="en-US" w:bidi="ar-SA"/>
        </w:rPr>
        <w:t>3</w:t>
      </w:r>
      <w:r>
        <w:rPr>
          <w:rFonts w:hint="eastAsia" w:cs="仿宋_GB2312" w:asciiTheme="minorEastAsia" w:hAnsiTheme="minorEastAsia" w:eastAsiaTheme="minorEastAsia"/>
          <w:color w:val="2A2A2A"/>
          <w:kern w:val="0"/>
          <w:lang w:val="en-US" w:bidi="ar-SA"/>
        </w:rPr>
        <w:t>.1 综合分排名在前10%学生，如果平均学分绩点也满足要求位列专业前 10%，则按照综合分成绩从高到低获得各专业推免名额的前 50%（大学本科均在计算机学院就读的学生）。</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cs="仿宋_GB2312" w:asciiTheme="minorEastAsia" w:hAnsiTheme="minorEastAsia" w:eastAsiaTheme="minorEastAsia"/>
          <w:color w:val="2A2A2A"/>
          <w:kern w:val="0"/>
          <w:lang w:val="en-US" w:bidi="ar-SA"/>
        </w:rPr>
        <w:t>3</w:t>
      </w:r>
      <w:r>
        <w:rPr>
          <w:rFonts w:hint="eastAsia" w:cs="仿宋_GB2312" w:asciiTheme="minorEastAsia" w:hAnsiTheme="minorEastAsia" w:eastAsiaTheme="minorEastAsia"/>
          <w:color w:val="2A2A2A"/>
          <w:kern w:val="0"/>
          <w:lang w:val="en-US" w:bidi="ar-SA"/>
        </w:rPr>
        <w:t>.2 所有转专业（含退出健行学院、不含院内转专业）、降级（参军入伍等除外）学生，均需参加保研资格面试，不能直接获得推免资格。</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cs="仿宋_GB2312" w:asciiTheme="minorEastAsia" w:hAnsiTheme="minorEastAsia" w:eastAsiaTheme="minorEastAsia"/>
          <w:color w:val="2A2A2A"/>
          <w:kern w:val="0"/>
          <w:lang w:val="en-US" w:bidi="ar-SA"/>
        </w:rPr>
        <w:t>3</w:t>
      </w:r>
      <w:r>
        <w:rPr>
          <w:rFonts w:hint="eastAsia" w:cs="仿宋_GB2312" w:asciiTheme="minorEastAsia" w:hAnsiTheme="minorEastAsia" w:eastAsiaTheme="minorEastAsia"/>
          <w:color w:val="2A2A2A"/>
          <w:kern w:val="0"/>
          <w:lang w:val="en-US" w:bidi="ar-SA"/>
        </w:rPr>
        <w:t>.3本学院转入健行学院、后续退出健行学院学生，按照转专业学生计算。</w:t>
      </w:r>
    </w:p>
    <w:p>
      <w:pPr>
        <w:pStyle w:val="3"/>
        <w:spacing w:before="3" w:line="360" w:lineRule="auto"/>
        <w:ind w:right="425" w:firstLine="480" w:firstLineChars="200"/>
        <w:rPr>
          <w:rFonts w:cs="仿宋_GB2312" w:asciiTheme="minorEastAsia" w:hAnsiTheme="minorEastAsia" w:eastAsiaTheme="minorEastAsia"/>
          <w:color w:val="2A2A2A"/>
          <w:kern w:val="0"/>
          <w:lang w:val="en-US" w:bidi="ar-SA"/>
        </w:rPr>
      </w:pPr>
      <w:r>
        <w:rPr>
          <w:rFonts w:cs="仿宋_GB2312" w:asciiTheme="minorEastAsia" w:hAnsiTheme="minorEastAsia" w:eastAsiaTheme="minorEastAsia"/>
          <w:color w:val="2A2A2A"/>
          <w:kern w:val="0"/>
          <w:lang w:val="en-US" w:bidi="ar-SA"/>
        </w:rPr>
        <w:t>3</w:t>
      </w:r>
      <w:r>
        <w:rPr>
          <w:rFonts w:hint="eastAsia" w:cs="仿宋_GB2312" w:asciiTheme="minorEastAsia" w:hAnsiTheme="minorEastAsia" w:eastAsiaTheme="minorEastAsia"/>
          <w:color w:val="2A2A2A"/>
          <w:kern w:val="0"/>
          <w:lang w:val="en-US" w:bidi="ar-SA"/>
        </w:rPr>
        <w:t xml:space="preserve">.4 </w:t>
      </w:r>
      <w:r>
        <w:rPr>
          <w:rFonts w:cs="仿宋_GB2312" w:asciiTheme="minorEastAsia" w:hAnsiTheme="minorEastAsia" w:eastAsiaTheme="minorEastAsia"/>
          <w:color w:val="2A2A2A"/>
          <w:kern w:val="0"/>
          <w:lang w:val="en-US" w:bidi="ar-SA"/>
        </w:rPr>
        <w:t>2019</w:t>
      </w:r>
      <w:r>
        <w:rPr>
          <w:rFonts w:hint="eastAsia" w:cs="仿宋_GB2312" w:asciiTheme="minorEastAsia" w:hAnsiTheme="minorEastAsia" w:eastAsiaTheme="minorEastAsia"/>
          <w:color w:val="2A2A2A"/>
          <w:kern w:val="0"/>
          <w:lang w:val="en-US" w:bidi="ar-SA"/>
        </w:rPr>
        <w:t>级健行学院学生退出健行时间不得晚于第五学期（大三上），所有退出健行学院学生在计算机学院参与保研时须提供在健行学院学习时绩点以及综合分排名供面试参考。</w:t>
      </w:r>
    </w:p>
    <w:p>
      <w:pPr>
        <w:widowControl/>
        <w:spacing w:line="360" w:lineRule="auto"/>
        <w:jc w:val="left"/>
        <w:rPr>
          <w:rFonts w:cs="仿宋_GB2312" w:asciiTheme="minorEastAsia" w:hAnsiTheme="minorEastAsia" w:eastAsiaTheme="minorEastAsia"/>
          <w:color w:val="2A2A2A"/>
          <w:kern w:val="0"/>
          <w:sz w:val="24"/>
          <w:szCs w:val="24"/>
        </w:rPr>
      </w:pPr>
    </w:p>
    <w:p>
      <w:pPr>
        <w:widowControl/>
        <w:spacing w:line="360" w:lineRule="auto"/>
        <w:jc w:val="left"/>
        <w:rPr>
          <w:rFonts w:cs="仿宋_GB2312" w:asciiTheme="minorEastAsia" w:hAnsiTheme="minorEastAsia" w:eastAsiaTheme="minorEastAsia"/>
          <w:color w:val="2A2A2A"/>
          <w:kern w:val="0"/>
          <w:sz w:val="24"/>
          <w:szCs w:val="24"/>
        </w:rPr>
      </w:pPr>
    </w:p>
    <w:p>
      <w:pPr>
        <w:widowControl/>
        <w:spacing w:line="360" w:lineRule="auto"/>
        <w:jc w:val="left"/>
        <w:rPr>
          <w:rFonts w:cs="仿宋_GB2312" w:asciiTheme="minorEastAsia" w:hAnsiTheme="minorEastAsia" w:eastAsiaTheme="minorEastAsia"/>
          <w:color w:val="2A2A2A"/>
          <w:kern w:val="0"/>
          <w:sz w:val="24"/>
          <w:szCs w:val="24"/>
        </w:rPr>
      </w:pPr>
    </w:p>
    <w:p>
      <w:pPr>
        <w:widowControl/>
        <w:spacing w:line="360" w:lineRule="auto"/>
        <w:jc w:val="left"/>
        <w:rPr>
          <w:rFonts w:cs="仿宋_GB2312" w:asciiTheme="minorEastAsia" w:hAnsiTheme="minorEastAsia" w:eastAsiaTheme="minorEastAsia"/>
          <w:color w:val="2A2A2A"/>
          <w:kern w:val="0"/>
          <w:sz w:val="24"/>
          <w:szCs w:val="24"/>
        </w:rPr>
      </w:pPr>
      <w:r>
        <w:rPr>
          <w:rFonts w:hint="eastAsia" w:cs="仿宋_GB2312" w:asciiTheme="minorEastAsia" w:hAnsiTheme="minorEastAsia" w:eastAsiaTheme="minorEastAsia"/>
          <w:color w:val="2A2A2A"/>
          <w:kern w:val="0"/>
          <w:sz w:val="24"/>
          <w:szCs w:val="24"/>
        </w:rPr>
        <w:t xml:space="preserve">                            浙江工业大学计算机科学与技术学院、软件学院</w:t>
      </w:r>
    </w:p>
    <w:p>
      <w:pPr>
        <w:widowControl/>
        <w:spacing w:line="360" w:lineRule="auto"/>
        <w:jc w:val="left"/>
        <w:rPr>
          <w:rFonts w:cs="仿宋_GB2312" w:asciiTheme="minorEastAsia" w:hAnsiTheme="minorEastAsia" w:eastAsiaTheme="minorEastAsia"/>
          <w:color w:val="2A2A2A"/>
          <w:kern w:val="0"/>
          <w:sz w:val="24"/>
          <w:szCs w:val="24"/>
        </w:rPr>
      </w:pPr>
      <w:r>
        <w:rPr>
          <w:rFonts w:hint="eastAsia" w:cs="仿宋_GB2312" w:asciiTheme="minorEastAsia" w:hAnsiTheme="minorEastAsia" w:eastAsiaTheme="minorEastAsia"/>
          <w:color w:val="2A2A2A"/>
          <w:kern w:val="0"/>
          <w:sz w:val="24"/>
          <w:szCs w:val="24"/>
        </w:rPr>
        <w:t xml:space="preserve">                                          </w:t>
      </w:r>
      <w:r>
        <w:rPr>
          <w:rFonts w:cs="仿宋_GB2312" w:asciiTheme="minorEastAsia" w:hAnsiTheme="minorEastAsia" w:eastAsiaTheme="minorEastAsia"/>
          <w:color w:val="2A2A2A"/>
          <w:kern w:val="0"/>
          <w:sz w:val="24"/>
          <w:szCs w:val="24"/>
        </w:rPr>
        <w:t xml:space="preserve">  </w:t>
      </w:r>
      <w:r>
        <w:rPr>
          <w:rFonts w:hint="eastAsia" w:cs="仿宋_GB2312" w:asciiTheme="minorEastAsia" w:hAnsiTheme="minorEastAsia" w:eastAsiaTheme="minorEastAsia"/>
          <w:color w:val="2A2A2A"/>
          <w:kern w:val="0"/>
          <w:sz w:val="24"/>
          <w:szCs w:val="24"/>
        </w:rPr>
        <w:t>2</w:t>
      </w:r>
      <w:r>
        <w:rPr>
          <w:rFonts w:cs="仿宋_GB2312" w:asciiTheme="minorEastAsia" w:hAnsiTheme="minorEastAsia" w:eastAsiaTheme="minorEastAsia"/>
          <w:color w:val="2A2A2A"/>
          <w:kern w:val="0"/>
          <w:sz w:val="24"/>
          <w:szCs w:val="24"/>
        </w:rPr>
        <w:t>02</w:t>
      </w:r>
      <w:r>
        <w:rPr>
          <w:rFonts w:hint="eastAsia" w:cs="仿宋_GB2312" w:asciiTheme="minorEastAsia" w:hAnsiTheme="minorEastAsia" w:eastAsiaTheme="minorEastAsia"/>
          <w:color w:val="2A2A2A"/>
          <w:kern w:val="0"/>
          <w:sz w:val="24"/>
          <w:szCs w:val="24"/>
        </w:rPr>
        <w:t>2年9月</w:t>
      </w:r>
      <w:r>
        <w:rPr>
          <w:rFonts w:cs="仿宋_GB2312" w:asciiTheme="minorEastAsia" w:hAnsiTheme="minorEastAsia" w:eastAsiaTheme="minorEastAsia"/>
          <w:color w:val="2A2A2A"/>
          <w:kern w:val="0"/>
          <w:sz w:val="24"/>
          <w:szCs w:val="24"/>
        </w:rPr>
        <w:t>9</w:t>
      </w:r>
      <w:r>
        <w:rPr>
          <w:rFonts w:hint="eastAsia" w:cs="仿宋_GB2312" w:asciiTheme="minorEastAsia" w:hAnsiTheme="minorEastAsia" w:eastAsiaTheme="minorEastAsia"/>
          <w:color w:val="2A2A2A"/>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MTYwNmI5Zjg1YmFhZDIwMDY0NDQ3ZTZiNDcyNTgifQ=="/>
  </w:docVars>
  <w:rsids>
    <w:rsidRoot w:val="7FEF2C5D"/>
    <w:rsid w:val="00043AC7"/>
    <w:rsid w:val="001E5D91"/>
    <w:rsid w:val="00321D98"/>
    <w:rsid w:val="00332DDB"/>
    <w:rsid w:val="00375829"/>
    <w:rsid w:val="003E6B51"/>
    <w:rsid w:val="00496D4B"/>
    <w:rsid w:val="006322DD"/>
    <w:rsid w:val="007D362E"/>
    <w:rsid w:val="00845915"/>
    <w:rsid w:val="0097215A"/>
    <w:rsid w:val="009A0065"/>
    <w:rsid w:val="00A160C6"/>
    <w:rsid w:val="00A725F5"/>
    <w:rsid w:val="00BE56E1"/>
    <w:rsid w:val="00C056FD"/>
    <w:rsid w:val="00D575D7"/>
    <w:rsid w:val="00E150E9"/>
    <w:rsid w:val="00E45C5F"/>
    <w:rsid w:val="00E95DCA"/>
    <w:rsid w:val="00EB234A"/>
    <w:rsid w:val="00F0203E"/>
    <w:rsid w:val="00F741A8"/>
    <w:rsid w:val="04044DDB"/>
    <w:rsid w:val="07AB0349"/>
    <w:rsid w:val="0895686B"/>
    <w:rsid w:val="0A3D797F"/>
    <w:rsid w:val="11376B69"/>
    <w:rsid w:val="158C2A19"/>
    <w:rsid w:val="186802BC"/>
    <w:rsid w:val="1A676352"/>
    <w:rsid w:val="1D154195"/>
    <w:rsid w:val="1FCC0E38"/>
    <w:rsid w:val="25443D67"/>
    <w:rsid w:val="292E6E93"/>
    <w:rsid w:val="31DA6A4D"/>
    <w:rsid w:val="435968D0"/>
    <w:rsid w:val="43607C5E"/>
    <w:rsid w:val="4B154617"/>
    <w:rsid w:val="4C2C4B82"/>
    <w:rsid w:val="602219D3"/>
    <w:rsid w:val="60E64B29"/>
    <w:rsid w:val="61FA7E17"/>
    <w:rsid w:val="6C925285"/>
    <w:rsid w:val="70FE5BC6"/>
    <w:rsid w:val="75E64156"/>
    <w:rsid w:val="76B11AF9"/>
    <w:rsid w:val="78D85E10"/>
    <w:rsid w:val="791C0756"/>
    <w:rsid w:val="7B7A0BB6"/>
    <w:rsid w:val="7FEF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24"/>
      <w:szCs w:val="24"/>
      <w:lang w:val="zh-CN" w:bidi="zh-CN"/>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764</Words>
  <Characters>823</Characters>
  <Lines>6</Lines>
  <Paragraphs>1</Paragraphs>
  <TotalTime>10</TotalTime>
  <ScaleCrop>false</ScaleCrop>
  <LinksUpToDate>false</LinksUpToDate>
  <CharactersWithSpaces>905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2019-09-11T09:55:00Z</dcterms:created>
  <dc:creator>Administrator</dc:creator>
  <cp:lastModifiedBy>Thorn、</cp:lastModifiedBy>
  <cp:lastPrinted>2022-09-09T01:11:00Z</cp:lastPrinted>
  <dcterms:modified xsi:type="dcterms:W3CDTF">2022-09-09T12:31:36Z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95C238BA1D3F4A03AA3C8092C24273FB</vt:lpwstr>
  </property>
</Properties>
</file>